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263" w:rsidRDefault="008B0263" w:rsidP="004D05FB">
      <w:pPr>
        <w:pStyle w:val="Default"/>
        <w:ind w:left="5529" w:firstLine="2126"/>
        <w:rPr>
          <w:rFonts w:asciiTheme="minorHAnsi" w:hAnsiTheme="minorHAnsi" w:cs="Times New Roman"/>
          <w:b/>
          <w:bCs/>
          <w:color w:val="auto"/>
        </w:rPr>
      </w:pPr>
      <w:r w:rsidRPr="004D05FB">
        <w:rPr>
          <w:rFonts w:asciiTheme="minorHAnsi" w:hAnsiTheme="minorHAnsi" w:cs="Times New Roman"/>
          <w:b/>
          <w:bCs/>
          <w:color w:val="auto"/>
        </w:rPr>
        <w:t xml:space="preserve">Załącznik </w:t>
      </w:r>
      <w:r w:rsidR="004D05FB" w:rsidRPr="004D05FB">
        <w:rPr>
          <w:rFonts w:asciiTheme="minorHAnsi" w:hAnsiTheme="minorHAnsi" w:cs="Times New Roman"/>
          <w:b/>
          <w:bCs/>
          <w:color w:val="auto"/>
        </w:rPr>
        <w:t>nr 4</w:t>
      </w:r>
      <w:r w:rsidRPr="004D05FB">
        <w:rPr>
          <w:rFonts w:asciiTheme="minorHAnsi" w:hAnsiTheme="minorHAnsi" w:cs="Times New Roman"/>
          <w:b/>
          <w:bCs/>
          <w:color w:val="auto"/>
        </w:rPr>
        <w:t xml:space="preserve"> do Umowy Operacyjnej</w:t>
      </w:r>
      <w:r w:rsidR="004D05FB" w:rsidRPr="004D05FB">
        <w:rPr>
          <w:rFonts w:asciiTheme="minorHAnsi" w:hAnsiTheme="minorHAnsi" w:cs="Times New Roman"/>
          <w:b/>
          <w:bCs/>
          <w:color w:val="auto"/>
        </w:rPr>
        <w:t xml:space="preserve"> </w:t>
      </w:r>
      <w:r w:rsidR="00351791">
        <w:rPr>
          <w:rFonts w:asciiTheme="minorHAnsi" w:hAnsiTheme="minorHAnsi" w:cs="Times New Roman"/>
          <w:b/>
          <w:bCs/>
          <w:color w:val="auto"/>
        </w:rPr>
        <w:t>–</w:t>
      </w:r>
      <w:r w:rsidR="004D05FB" w:rsidRPr="004D05FB">
        <w:rPr>
          <w:rFonts w:asciiTheme="minorHAnsi" w:hAnsiTheme="minorHAnsi" w:cs="Times New Roman"/>
          <w:b/>
          <w:bCs/>
          <w:color w:val="auto"/>
        </w:rPr>
        <w:t xml:space="preserve"> Pożyczka</w:t>
      </w:r>
    </w:p>
    <w:p w:rsidR="00351791" w:rsidRPr="004D05FB" w:rsidRDefault="00351791" w:rsidP="004D05FB">
      <w:pPr>
        <w:pStyle w:val="Default"/>
        <w:ind w:left="5529" w:firstLine="2126"/>
        <w:rPr>
          <w:rFonts w:asciiTheme="minorHAnsi" w:hAnsiTheme="minorHAnsi" w:cs="Times New Roman"/>
          <w:b/>
          <w:bCs/>
          <w:color w:val="auto"/>
        </w:rPr>
      </w:pPr>
    </w:p>
    <w:p w:rsidR="008B0263" w:rsidRPr="003910FF" w:rsidRDefault="008B0263" w:rsidP="008B0263">
      <w:pPr>
        <w:pStyle w:val="Default"/>
        <w:ind w:left="4956"/>
        <w:rPr>
          <w:rFonts w:asciiTheme="minorHAnsi" w:hAnsiTheme="minorHAnsi" w:cs="Times New Roman"/>
          <w:color w:val="auto"/>
          <w:sz w:val="20"/>
          <w:szCs w:val="20"/>
          <w:highlight w:val="yellow"/>
        </w:rPr>
      </w:pPr>
    </w:p>
    <w:p w:rsidR="008B0263" w:rsidRDefault="008B0263" w:rsidP="008B0263">
      <w:pPr>
        <w:jc w:val="center"/>
        <w:rPr>
          <w:rFonts w:cs="Times New Roman"/>
          <w:b/>
          <w:bCs/>
          <w:sz w:val="28"/>
          <w:szCs w:val="28"/>
        </w:rPr>
      </w:pPr>
      <w:r w:rsidRPr="003910FF">
        <w:rPr>
          <w:rFonts w:cs="Times New Roman"/>
          <w:b/>
          <w:bCs/>
          <w:sz w:val="28"/>
          <w:szCs w:val="28"/>
        </w:rPr>
        <w:t>Procedura Składania Rozliczeń</w:t>
      </w:r>
      <w:r w:rsidR="00351791" w:rsidRPr="00351791">
        <w:t xml:space="preserve"> </w:t>
      </w:r>
      <w:r w:rsidR="00351791" w:rsidRPr="00351791">
        <w:rPr>
          <w:rFonts w:cs="Times New Roman"/>
          <w:b/>
          <w:bCs/>
          <w:sz w:val="28"/>
          <w:szCs w:val="28"/>
        </w:rPr>
        <w:t>Operacji</w:t>
      </w:r>
    </w:p>
    <w:p w:rsidR="00351791" w:rsidRPr="00D8358F" w:rsidRDefault="00351791" w:rsidP="008B026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Jasnasiatkaakcent5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B0263" w:rsidRPr="00707369" w:rsidTr="00A914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8B0263" w:rsidP="00C117E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707369">
              <w:rPr>
                <w:rFonts w:asciiTheme="minorHAnsi" w:hAnsiTheme="minorHAnsi" w:cstheme="minorHAnsi"/>
                <w:u w:val="single"/>
              </w:rPr>
              <w:t>Wniosek o Wypłatę Transzy</w:t>
            </w: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Menadżer Fundus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zu Funduszy powierzy Pośrednikowi Finansowemu na podstawie Umowy Operacyjnej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środ</w:t>
            </w:r>
            <w:r w:rsidR="003F549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ki w celu wdrożenia Instrumentu Finansowego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. Udostępnienie </w:t>
            </w:r>
            <w:r w:rsidR="00EB0F06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środków Pośrednikowi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Finansowemu następuje na podstawie złożonego przez Pośrednika Finansowego Wniosku o wypłatę transzy (dalej ,,wniosek’’).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Wniosek składany jest w wersji papierowej 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lub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elektronicznej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(</w:t>
            </w:r>
            <w:r w:rsidR="00EB0F06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 wykorzystaniem kwalifikowanego podpisu elektronicznego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). Wersja papierowa Wniosku składana jest osobiście lub pocztą za zwrotnym potwierdzeniem odbioru bądź przesyłką kurierską (decyduje data wpływu do biura MFF) przez Pośrednika Finansowego na adres wskazany </w:t>
            </w:r>
            <w:r w:rsidR="00130C4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br/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Umowie jako adres do powiadomień.</w:t>
            </w:r>
            <w:r w:rsidR="00DA251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Wersja elektroniczna wniosku przesyłana jest na adres skrzynki pocztowej wskazany w Umowie.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Wniosek podlega weryfikacji pod względem formalnym, merytorycznym oraz rachunkowym w ciągu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20 dni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roboczych od daty jego wpływu </w:t>
            </w:r>
            <w:r w:rsidR="003841F0">
              <w:rPr>
                <w:rFonts w:asciiTheme="minorHAnsi" w:hAnsiTheme="minorHAnsi" w:cstheme="minorHAnsi"/>
                <w:b w:val="0"/>
                <w:sz w:val="22"/>
                <w:szCs w:val="22"/>
              </w:rPr>
              <w:t>na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adres wskazany w Umowie jako adres do powiadomień.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Pośrednik Fi</w:t>
            </w:r>
            <w:r w:rsidR="00680A15">
              <w:rPr>
                <w:rFonts w:asciiTheme="minorHAnsi" w:hAnsiTheme="minorHAnsi" w:cstheme="minorHAnsi"/>
                <w:b w:val="0"/>
                <w:sz w:val="22"/>
                <w:szCs w:val="22"/>
              </w:rPr>
              <w:t>nansowy sporządza i przedkłada W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nioski do MFF dla Instrumentu Finansowego, przy czym: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pierwszy Wniosek jest składany przez Pośrednika Finansowego w terminie 10 dni Roboczych od daty zawarcia Umowy,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drugi Wniosek złożony zostanie przez Pośrednika Finansowego, gdy przynajmniej 60% kwoty przekazanej na </w:t>
            </w:r>
            <w:r w:rsidR="007E4796">
              <w:rPr>
                <w:rFonts w:asciiTheme="minorHAnsi" w:hAnsiTheme="minorHAnsi" w:cstheme="minorHAnsi"/>
                <w:b w:val="0"/>
                <w:sz w:val="22"/>
                <w:szCs w:val="22"/>
              </w:rPr>
              <w:t>podstawie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20D2D">
              <w:rPr>
                <w:rFonts w:asciiTheme="minorHAnsi" w:hAnsiTheme="minorHAnsi" w:cstheme="minorHAnsi"/>
                <w:b w:val="0"/>
                <w:sz w:val="22"/>
                <w:szCs w:val="22"/>
              </w:rPr>
              <w:t>pierwszego Wniosku uzupełnionej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 Wkład Pośrednika Finansowego wypłacono na rzecz Ostatecznych Odbiorców, zgodnie z zasadami określonymi w Umowie</w:t>
            </w:r>
            <w:r w:rsidR="00DA2518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AC7D1B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kolejne wnioski złożone zostaną, gdy przynajmniej 85% kwoty zawartej w poprzednich wnioskach</w:t>
            </w:r>
            <w:r w:rsidR="00C8622E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C8622E">
              <w:rPr>
                <w:rFonts w:asciiTheme="minorHAnsi" w:hAnsiTheme="minorHAnsi" w:cstheme="minorHAnsi"/>
                <w:b w:val="0"/>
                <w:sz w:val="22"/>
                <w:szCs w:val="22"/>
              </w:rPr>
              <w:t>uzupełnione</w:t>
            </w:r>
            <w:r w:rsidR="00C8622E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 Wkład Pośrednika Finansowego</w:t>
            </w:r>
            <w:r w:rsidR="00C8622E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C8622E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zostanie wypłac</w:t>
            </w:r>
            <w:r w:rsidR="003F549C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one na rzecz </w:t>
            </w:r>
            <w:r w:rsidR="003F549C" w:rsidRPr="00AC7D1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</w:t>
            </w:r>
            <w:r w:rsidR="00DA2518" w:rsidRPr="00AC7D1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statecznych Odbiorców, zgodnie z</w:t>
            </w:r>
            <w:r w:rsidR="00DA2518" w:rsidRPr="00AC7D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zasadami określonymi w Umowie</w:t>
            </w:r>
            <w:r w:rsidR="00DA2518" w:rsidRPr="00AC7D1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</w:p>
          <w:p w:rsidR="008B0263" w:rsidRPr="00AC7D1B" w:rsidRDefault="008B0263" w:rsidP="008B0263">
            <w:pPr>
              <w:pStyle w:val="Default"/>
              <w:numPr>
                <w:ilvl w:val="0"/>
                <w:numId w:val="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AC7D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uzasadnionych przypadkach, wskaźnik stopnia wykorzystania otrzymanych transz, </w:t>
            </w:r>
            <w:r w:rsidR="00C8622E" w:rsidRPr="00AC7D1B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AC7D1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 którym mowa powyżej, uprawniający do złożenia kolejnego Wniosku może zostać obniżony przez Menadżera na wniosek Pośrednika Finansowego, przy czym wniosek ten nie wiąże Menadżera.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wnioskowanego do wniesienia Wkładu Funduszu Funduszy zawarta w każdym Wniosku stanowi co do zasady:</w:t>
            </w:r>
          </w:p>
          <w:p w:rsidR="008B0263" w:rsidRPr="00E75CA8" w:rsidRDefault="008B0263" w:rsidP="008B0263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25 % całości Wkładu Funduszu Funduszy przewidzianego </w:t>
            </w: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 wniesienia do danego Instrumentu Finansowego, bez Prawa Opcji, o którym mowa w § 14 Umowy,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25 % całości Wkładu Funduszu </w:t>
            </w:r>
            <w:r w:rsidR="00DA2518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Funduszy przewidzianego</w:t>
            </w: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 wniesienia do danego Instrumentu Finansowego na podstawie Prawa Opcji, o którym mowa w § 14 Umowy,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 uprzednim skorzystaniu przez Menadżera z tego prawa.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stwierdzenia braków lub błędów formalnych, merytorycznych bądź rachunkowych w złożonym Wniosku, Menadżer wzywa Pośrednika Finansowego do poprawienia lub uzupełnienia Wniosku we wskazanym terminie. </w:t>
            </w:r>
          </w:p>
          <w:p w:rsidR="008B0263" w:rsidRPr="00F31DEC" w:rsidRDefault="008B0263" w:rsidP="00F31DEC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Menadżer dokonuje weryfikacji poprawności przygotowanego Wniosku w oparciu o dane zamieszczone przez Pośrednika Finansowego w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Umowie Operacyjnej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uzasadnionych 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sytuacjach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może wezwać Pośrednika Finansowego</w:t>
            </w:r>
            <w:r w:rsidR="0052384F"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do dostarczenia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dodatkowych</w:t>
            </w:r>
            <w:r w:rsidR="003A770F"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dokumentów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formie oryginałów lub zeskanowanych oryginałów dokumentów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F31DEC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E74120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 przypadku, gdy Menadżer wzywa Pośrednika Finansowego do poprawienia lub uzupełnienia Wniosku we wskazanym terminie, wezwanie wskazujące zakres zmian lub poprawek oraz termin na ich dokonanie jest przekazyw</w:t>
            </w:r>
            <w:r w:rsidR="0052384F">
              <w:rPr>
                <w:rFonts w:asciiTheme="minorHAnsi" w:hAnsiTheme="minorHAnsi" w:cstheme="minorHAnsi"/>
                <w:b w:val="0"/>
                <w:sz w:val="22"/>
                <w:szCs w:val="22"/>
              </w:rPr>
              <w:t>ane do Pośrednika Finansowego z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wykorzystaniem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poczty elektronicznej, </w:t>
            </w:r>
            <w:r w:rsidR="00E74120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ewentualnie w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wersji papierowej</w:t>
            </w:r>
            <w:r w:rsidRPr="00D201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="00AE5842">
              <w:rPr>
                <w:rFonts w:asciiTheme="minorHAnsi" w:hAnsiTheme="minorHAnsi" w:cstheme="minorHAnsi"/>
                <w:b w:val="0"/>
                <w:sz w:val="22"/>
                <w:szCs w:val="22"/>
              </w:rPr>
              <w:t>na adres wskazany w Umowie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AC1C6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jako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adres do powiadomień. Termin na dokonanie przez Menadżera wypłaty Transzy liczony jest od dnia złożenia przez Pośrednika Finansowego poprawionego lub uzupełnionego Wniosku.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 dokonuje wypłaty Transzy z Rachunku Bankowego Funduszu Funduszy na odpowiedni Rachunek Bankowy z Wkładem z Funduszu Funduszy Pośrednika Finansowego w terminie 5 Dni Roboczych od dnia zaakceptowania poprawnie wypełnionego Wniosku.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może po raz ostatni złożyć Wniosek </w:t>
            </w:r>
            <w:r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na </w:t>
            </w:r>
            <w:r w:rsidR="002761ED"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90</w:t>
            </w:r>
            <w:r w:rsidRPr="004400D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Dni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2761E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kalendarzowych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przed ostatnim dniem Okresu Budowy Portfela.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braku wystarczających środków na Rachunku Bankowym Funduszu Funduszy, Transza zostanie przekazana Pośrednikowi Finansowemu niezwłocznie po wpływie odpowiednich środków na Rachunek Bankowy Funduszu Funduszy.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sytuacji przejściowego braku wystarczających środków na Rachunku Bankowym Funduszu Funduszy dopuszcza się możliwość wypłaty Transzy w częściach. </w:t>
            </w:r>
          </w:p>
          <w:p w:rsidR="008B0263" w:rsidRPr="00D20114" w:rsidRDefault="008B0263" w:rsidP="00CE0CD5">
            <w:pPr>
              <w:pStyle w:val="Default"/>
              <w:numPr>
                <w:ilvl w:val="0"/>
                <w:numId w:val="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zastrzega, że może wstrzymać przekazywanie Transzy w przypadku realizowania Umowy w sposób niezgodny z jej postanowieniami.</w:t>
            </w: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8B0263" w:rsidP="008B0263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Wypłata Pożyczek</w:t>
            </w:r>
          </w:p>
          <w:p w:rsidR="00C117E2" w:rsidRPr="00707369" w:rsidRDefault="00C117E2" w:rsidP="008B0263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4400D3" w:rsidRDefault="00122598" w:rsidP="008B026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W celu wypłaty Pożyczki</w:t>
            </w:r>
            <w:r w:rsidR="00546DAB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(transzy pożyczki)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Pośrednik Finan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sowy przekazuje na odpowiedni 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rachunek bankowy (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Wypłat Pożyczek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):</w:t>
            </w:r>
          </w:p>
          <w:p w:rsidR="008B0263" w:rsidRPr="004400D3" w:rsidRDefault="008B0263" w:rsidP="008B0263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środki powierzone 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przez Menadżera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Funduszu Funduszy z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Rachunku Bankowego </w:t>
            </w:r>
            <w:r w:rsidR="00E74120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Wkładem Funduszu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Funduszy</w:t>
            </w:r>
            <w:r w:rsidR="00B92444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B0263" w:rsidRPr="004400D3" w:rsidRDefault="00122598" w:rsidP="008B0263">
            <w:pPr>
              <w:pStyle w:val="Default"/>
              <w:numPr>
                <w:ilvl w:val="0"/>
                <w:numId w:val="6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środki 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Wkład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="008B0263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Pośrednika Finansowego z Rachunku Bankowego Własnego. </w:t>
            </w:r>
          </w:p>
          <w:p w:rsidR="008B0263" w:rsidRPr="004400D3" w:rsidRDefault="008B0263" w:rsidP="008B026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Poży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czka (transza pożyczki), zawierająca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odpowiedni %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Wkład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Funduszu Funduszy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(zgodny z Biznes Planem)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oraz Wkład</w:t>
            </w:r>
            <w:r w:rsidR="008B7891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u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ośrednika Finansowego, wypłacana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22598"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>jest na rzecz Ostatecznego Odbiorcy z</w:t>
            </w:r>
            <w:r w:rsidRPr="004400D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rachunku bankowego (Wypłat Pożyczek).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Rachunek bankowy Wypłat Pożyczek jest rachunkiem przepływowym, na którym, co do zasady, środki finansowe nie powinny być przechowywane. 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Pożyczka (transza pożyczki) wypłacona zostanie przez P</w:t>
            </w:r>
            <w:r w:rsidR="0012259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ośrednika Finansowego na rzecz Ostatecznego 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dbiorcy po: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ustanowieniu adekwatnych form zabezpieczeń</w:t>
            </w:r>
            <w:r w:rsidR="0012259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standardowo stosowanyc</w:t>
            </w:r>
            <w:r w:rsidR="00644B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h przez Pośrednika Finansowego</w:t>
            </w:r>
            <w:r w:rsidR="0012259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="00644B31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przewidziany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ch w umowie udzielonej pożyczki,</w:t>
            </w:r>
          </w:p>
          <w:p w:rsidR="008B0263" w:rsidRPr="00D20114" w:rsidRDefault="008B0263" w:rsidP="008B0263">
            <w:pPr>
              <w:pStyle w:val="Default"/>
              <w:numPr>
                <w:ilvl w:val="0"/>
                <w:numId w:val="5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przedstawieniu przez Ostatecznego Odbiorcę oryginałów faktur/rachunków/innych dokumentów o równoważnej wartości dowodowej potwierdzających dokonanie zakupów zgodnych z celem określonym w umowie Pożyczki w formie;</w:t>
            </w:r>
          </w:p>
          <w:p w:rsidR="008B0263" w:rsidRPr="00D20114" w:rsidRDefault="008B0263" w:rsidP="008B0263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- zapłaty </w:t>
            </w:r>
            <w:r w:rsidR="00CC7D7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przez Pośrednika Finansowego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za </w:t>
            </w:r>
            <w:r w:rsidR="00122598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zobowiązanie Ostatecznego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Odbior</w:t>
            </w:r>
            <w:r w:rsidR="00CC7D7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cy na rachunek wystawcy faktury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/rachunku/innego dokumentu</w:t>
            </w:r>
            <w:r w:rsidR="00E74120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 równoważnej wartości dowodowej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</w:p>
          <w:p w:rsidR="008B0263" w:rsidRPr="00D20114" w:rsidRDefault="008B0263" w:rsidP="008B0263">
            <w:pPr>
              <w:pStyle w:val="Default"/>
              <w:ind w:left="1080"/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- refundacji </w:t>
            </w:r>
            <w:r w:rsidR="00CC7D7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środków </w:t>
            </w:r>
            <w:r w:rsidR="0012259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na konto Ostatecznego Odbiorcy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 przypadku dostarczenia przez Ostatecznego </w:t>
            </w:r>
            <w:r w:rsidR="00122598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Odbiorcę oryginału</w:t>
            </w:r>
            <w:r w:rsidR="00AF708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opłaconej </w:t>
            </w:r>
            <w:r w:rsidR="00546DAB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faktury</w:t>
            </w:r>
            <w:r w:rsidR="00CC7D7A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/rachunku/innego dokumentu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wraz z dowodem zapłaty. </w:t>
            </w:r>
          </w:p>
          <w:p w:rsidR="008B0263" w:rsidRDefault="008B0263" w:rsidP="005539F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 xml:space="preserve">Pośrednik Finansowy dokonując wypłaty pożyczki na rzecz Ostatecznego Odbiorcy zobowiązany jest do prawidłowego wypełnienia przelewu. W tytule przelewu Pośrednik zobowiązany jest podać 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skróconą nazwę </w:t>
            </w:r>
            <w:r w:rsidR="00F664C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podmiotu,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któremu udzielono pożyczki,</w:t>
            </w:r>
            <w:r w:rsidR="00546DAB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numer Umowy pożyczki oraz </w:t>
            </w:r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czego dotyczy przelew, np. „MAXDOM, pożyczka nr 123/PBS…, za f-</w:t>
            </w:r>
            <w:proofErr w:type="spellStart"/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rę</w:t>
            </w:r>
            <w:proofErr w:type="spellEnd"/>
            <w:r w:rsidR="00546DAB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nr 123/G/02017”</w:t>
            </w:r>
            <w:r w:rsidR="00520D2D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w przypadku refundacji do Ostatecznego Odbiorcy – MAXDOM, pożyczka nr 123/PBS…., refundacja.</w:t>
            </w:r>
          </w:p>
          <w:p w:rsidR="00546DAB" w:rsidRDefault="009E6F42" w:rsidP="009E6F42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dokonując wypłaty pożyczki zobowiązany jest do umieszczenia na wszystkich oryginałach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faktur/rachunków/innych dokumentów o równoważnej wartości dowodowej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Ostatecznego Odbiorcy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będących podstawą do uruchomienia pożyczki,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pieczęci z opisem „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Wydatek poniesiony ze </w:t>
            </w:r>
            <w:r w:rsidR="00E91715"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środków RPO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WK-P 2014-2020 w ramach Umowy 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Pożyczki 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nr 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…</w:t>
            </w:r>
            <w:r w:rsidR="00E9171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(nr umowy)</w:t>
            </w: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zawartej z Pośrednikiem Finansowym 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– ….</w:t>
            </w:r>
            <w:r w:rsidR="00E91715">
              <w:rPr>
                <w:rFonts w:asciiTheme="minorHAnsi" w:hAnsiTheme="minorHAnsi" w:cstheme="minorHAnsi"/>
                <w:b w:val="0"/>
                <w:i/>
                <w:color w:val="auto"/>
                <w:sz w:val="22"/>
                <w:szCs w:val="22"/>
              </w:rPr>
              <w:t>(nazwa Pośrednika)</w:t>
            </w:r>
            <w:r w:rsidRPr="009E6F42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”.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</w:p>
          <w:p w:rsidR="00E91715" w:rsidRDefault="009E6F42" w:rsidP="00E9171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zobowiązany jest do przechowywania kopi dokumentów o których mowa w pkt.6 powyżej celem udokumentowania prawidłowości wydatkowania środków. Kopie dokumentów powinny zostać sporządzone po </w:t>
            </w:r>
            <w:r w:rsid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opieczętowaniu oryginałów dokumentów opisem o którym mowa w pkt. 6 powyżej.</w:t>
            </w:r>
          </w:p>
          <w:p w:rsidR="00E91715" w:rsidRPr="00680A15" w:rsidRDefault="00E91715" w:rsidP="00680A15">
            <w:pPr>
              <w:pStyle w:val="Default"/>
              <w:numPr>
                <w:ilvl w:val="0"/>
                <w:numId w:val="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Pośrednik Finansowy</w:t>
            </w:r>
            <w:r w:rsidR="00F664C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F664C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dla każdej pożyczki, </w:t>
            </w:r>
            <w:r w:rsidR="00F664C7"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zobowiązany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jest do sporządzenia</w:t>
            </w:r>
            <w:r w:rsidR="00F664C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i prowadzenia </w:t>
            </w:r>
            <w:r w:rsidR="00F664C7"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formie elektronicznej</w:t>
            </w:r>
            <w:r w:rsid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(</w:t>
            </w:r>
            <w:r w:rsidR="006C0363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 arkuszu kalkulacyjnym zgodnym z MS Excel</w:t>
            </w:r>
            <w:r w:rsid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)</w:t>
            </w:r>
            <w:r w:rsidR="00F664C7"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Pr="00E917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wykazu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faktur/rachunków/innych dokumentów </w:t>
            </w:r>
            <w:bookmarkStart w:id="0" w:name="_GoBack"/>
            <w:bookmarkEnd w:id="0"/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o równoważnej wartości dowodowej, będących podstawą do uruchomienia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środków pożyczki. Wykaz zawiera</w:t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co najmniej: </w:t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wystawcę dokumentu, rodzaj przedłożonego dokumentu, numer przedłożonego dokumentu, datę wystawienia dokumentu, metodę płatności, datę </w:t>
            </w:r>
            <w:r w:rsid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zapłaty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kwotę dokumentu brutto i netto, kwotę płatności</w:t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oraz informację 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jakiego zakupu</w:t>
            </w:r>
            <w:r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dotyczy dokument</w:t>
            </w:r>
            <w:r w:rsidR="00F664C7" w:rsidRPr="00680A15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26230A" w:rsidP="0026230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Zwrot środków z Inwestycji – Zasoby Zwrócone</w:t>
            </w:r>
          </w:p>
          <w:p w:rsidR="00C117E2" w:rsidRPr="00707369" w:rsidRDefault="00C117E2" w:rsidP="002623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Zwrot środków Pożyczek przez Ostatecznych Odbiorców odbywa się na Rachu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nek Bankowy ,,Zwrotów  Pożyczek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‘’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26230A" w:rsidRPr="00D20114" w:rsidRDefault="00620DAD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Rachunek B</w:t>
            </w:r>
            <w:r w:rsidR="0026230A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</w:t>
            </w:r>
            <w:r w:rsidR="0026230A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kowy Zwrotów Pożyczek jest rachunkiem </w:t>
            </w:r>
            <w:r w:rsidR="00C408CB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przepływowym,</w:t>
            </w:r>
            <w:r w:rsidR="0026230A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 którym co do zasady środki finansowe nie powinny być przechowywane.</w:t>
            </w:r>
          </w:p>
          <w:p w:rsidR="0026230A" w:rsidRPr="00E75CA8" w:rsidRDefault="0026230A" w:rsidP="008B7D59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</w:t>
            </w:r>
            <w:r w:rsidR="00CC7D7A">
              <w:rPr>
                <w:rFonts w:asciiTheme="minorHAnsi" w:hAnsiTheme="minorHAnsi" w:cstheme="minorHAnsi"/>
                <w:b w:val="0"/>
                <w:sz w:val="22"/>
                <w:szCs w:val="22"/>
              </w:rPr>
              <w:t>niezwłocznie przekazuje zwrócone środki z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pożyczek</w:t>
            </w:r>
            <w:r w:rsidR="00CC7D7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136EE1">
              <w:rPr>
                <w:rFonts w:asciiTheme="minorHAnsi" w:hAnsiTheme="minorHAnsi" w:cstheme="minorHAnsi"/>
                <w:b w:val="0"/>
                <w:sz w:val="22"/>
                <w:szCs w:val="22"/>
              </w:rPr>
              <w:t>(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 udziale FF) na rachun</w:t>
            </w:r>
            <w:r w:rsidR="00136EE1">
              <w:rPr>
                <w:rFonts w:asciiTheme="minorHAnsi" w:hAnsiTheme="minorHAnsi" w:cstheme="minorHAnsi"/>
                <w:b w:val="0"/>
                <w:sz w:val="22"/>
                <w:szCs w:val="22"/>
              </w:rPr>
              <w:t>ek bankowy Zasobów Zwróconych (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pod</w:t>
            </w:r>
            <w:r w:rsidR="008B7D59">
              <w:rPr>
                <w:rFonts w:asciiTheme="minorHAnsi" w:hAnsiTheme="minorHAnsi" w:cstheme="minorHAnsi"/>
                <w:b w:val="0"/>
                <w:sz w:val="22"/>
                <w:szCs w:val="22"/>
              </w:rPr>
              <w:t>ział na część FF i PF dokonywany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jest </w:t>
            </w:r>
            <w:r w:rsidR="00CC7D7A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na poziomie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spła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ty każdej jednostkowej pożyczki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)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B7D59" w:rsidRPr="008B7D59">
              <w:rPr>
                <w:rFonts w:asciiTheme="minorHAnsi" w:hAnsiTheme="minorHAnsi" w:cstheme="minorHAnsi"/>
                <w:b w:val="0"/>
                <w:color w:val="0070C0"/>
                <w:sz w:val="22"/>
                <w:szCs w:val="22"/>
              </w:rPr>
              <w:t xml:space="preserve"> 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Każdą</w:t>
            </w:r>
            <w:r w:rsidR="008B7D59" w:rsidRPr="00E75CA8">
              <w:rPr>
                <w:b w:val="0"/>
                <w:color w:val="auto"/>
              </w:rPr>
              <w:t xml:space="preserve"> 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wpłatę dokonaną przez Ostatecznego Odbiorcę zalicza się w pierwszej kolejności na pokrycie kosztów sądowych, kosztów egzekucji, kosztów korespondencji do dłużnika, odsetek naliczonych od kwot objętych tytułem egzekucyjnym, odsetek od zadłużenia przeterminowanego, pozostałych niespłaconych odsetek, należnych opłat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i innych kosztów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PF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 kosztów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zastępstwa procesowego, niespłaco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nego (wymagalnego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) kapitał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u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pożyczki</w:t>
            </w:r>
            <w:r w:rsidR="00F34687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,</w:t>
            </w:r>
            <w:r w:rsidR="008B7D59" w:rsidRPr="00E75CA8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proporcjonalnie do udziałów wkładu FF i PF w daną pożyczkę.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Zwrot środków z </w:t>
            </w:r>
            <w:r w:rsidR="00D02D94">
              <w:rPr>
                <w:rFonts w:asciiTheme="minorHAnsi" w:hAnsiTheme="minorHAnsi" w:cstheme="minorHAnsi"/>
                <w:b w:val="0"/>
                <w:sz w:val="22"/>
                <w:szCs w:val="22"/>
              </w:rPr>
              <w:t>udzielonych pożyczek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przez Pośrednika Finansowego, w tym zwroty kapitału, odsetki i wszelkie inne przychody wygenerowane przez Inwestycję, a także wszelkie przychody wygenerowane na tych środkach na poziomie Pośrednika Finansowego stanowiące Zasoby Zwrócone, odbywa się w okresach kwartalnych. Pośrednik Finansowy przekazuje Zasoby Zwrócone na odpowiedni Rachunek Bankowy Funduszu Funduszy.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Numer </w:t>
            </w:r>
            <w:r w:rsidR="00620DAD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Rachunku Bankowego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Menadżera Funduszu Funduszy, na który będą przekazywane Zasoby Zwrócone zawarty jest w Umowie Operacyjnej</w:t>
            </w:r>
            <w:r w:rsidR="00620DA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26230A" w:rsidRPr="00D02D9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Zwrot Zasobów Zwróconych do Menadżera Funduszu </w:t>
            </w:r>
            <w:r w:rsidR="00620DAD"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Funduszy będzie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następować w terminie do 5 Dni Roboczych po przekazaniu przez Pośrednika Finansowego do MFF 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sprawozdań kwartalnych</w:t>
            </w:r>
            <w:r w:rsidR="00620DAD"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.</w:t>
            </w:r>
          </w:p>
          <w:p w:rsidR="0026230A" w:rsidRPr="00D02D9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Pośrednik Finansowy przekazując Zasoby Zwrócone zobowiązany jest do prawidłowego </w:t>
            </w:r>
            <w:r w:rsidR="00620DAD"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wypełnienia przelewu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</w:t>
            </w:r>
            <w:r w:rsidR="00620DAD"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podając prawidłowe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dane. W tytule przelewu Pośrednik zobowiązany 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lastRenderedPageBreak/>
              <w:t>jest podać nr Umowy Operacyjnej oraz kwotę zasobów zw</w:t>
            </w:r>
            <w:r w:rsidR="00014CFB"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>racanych w podziale na kapitał, odsetki od pożyczek, odsetki od lokat</w:t>
            </w:r>
            <w:r w:rsidRPr="00D02D9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 oraz wszystkie inne przychody wygenerowane przez inwestycję.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 okresach kwartalnych, w których u Pośrednika Finansowego nie wystąpiły Zasoby Zwrócone, Pośrednik Finansowy w przekazanym po zakończeniu danego kwartału Sprawozdaniu, informuje Menadżera o niewystąpieniu Zasobów Zwróconych w danym kwartale.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Kwota płatności przekazywanej na Rachunek Bankowy Funduszu Funduszy przez Pośrednika Finansowego jest równa łącznej kwocie Zasobów Zwróconych, które wystąpiły w danym kwartale, zgodnie z prowadzoną przez Pośrednika Finansowego ewidencją spłat Pożyczek oraz zgodnie z informacją zawartą w Sprawozdaniach miesięcznych i kwartalnych.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Wszelkie straty z tytułu udzielonych Pożyczek (Szkodowość) ponoszone są przez Menadżera i Pośrednika Finansowego proporcjonalnie do wniesionych przez nich wkładów do Instrumentu Finansowego, z zastrzeżeniem pkt.11. poniżej.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Kwoty odzyskane w wyniku dochodzenia przez Pośrednika Finansowego, należności od Ostatecznych Odbiorców z tytułu udzielonych Pożyczek obniżają straty Menadżera </w:t>
            </w:r>
            <w:r w:rsidR="00680A15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i Pośrednika Finansowego proporcjonalnie do wniesionych wkładów.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Kwoty netto odzyskane w wyniku dochodzenia przez Pośrednika Finansowego należności przeciwko Ostatecznym Odbiorcom po zakończeniu Okresu Wygaszania Portfela, stanowiące Zasoby Zwrócone, przekazywane są Menadżerowi przez Pośrednika Finansowego w okresach miesięcznych, w terminie do [15] Dni Roboczych po zakończeniu miesiąca.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przekroczenia pułapu Szkodowości: 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wzywa Pośrednika Finansowego w formie pisemnej do pokrycia różnicy pomiędzy Szkodowością a pułapem Szkodowości z</w:t>
            </w:r>
            <w:r w:rsid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e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14CFB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środków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własnych Pośrednika Finansowego;</w:t>
            </w:r>
          </w:p>
          <w:p w:rsidR="0026230A" w:rsidRDefault="0026230A" w:rsidP="0026230A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pokrywa różnicę pomiędzy Szkodowością a pułapem Szkodowości z własnych środków w terminie </w:t>
            </w:r>
            <w:r w:rsid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do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20 Dni Roboczych od ot</w:t>
            </w:r>
            <w:r w:rsidR="005C1F0E">
              <w:rPr>
                <w:rFonts w:asciiTheme="minorHAnsi" w:hAnsiTheme="minorHAnsi" w:cstheme="minorHAnsi"/>
                <w:b w:val="0"/>
                <w:sz w:val="22"/>
                <w:szCs w:val="22"/>
              </w:rPr>
              <w:t>rzymania wezwania od Menadżera,</w:t>
            </w:r>
          </w:p>
          <w:p w:rsidR="005C1F0E" w:rsidRPr="00D20114" w:rsidRDefault="0065218E" w:rsidP="0065218E">
            <w:pPr>
              <w:pStyle w:val="Default"/>
              <w:numPr>
                <w:ilvl w:val="0"/>
                <w:numId w:val="8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Pożyczki, których niespłacona kwota stanowi różnicę pomiędzy Szkodowością a pułapem Szkodowości, zostaną określone wg daty zawarcia Umowy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Pożyczki - 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od zawartej najpóźniej do zawartej najwcześniej.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W przypadku Pożyczek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, 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których kwota zaległości 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>zostanie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zaliczona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zarówno do pułapu Szkodowości jak i przekroczenia tego pułapu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, Pośrednik Finansowy będzie zobowiązany do wskazania</w:t>
            </w:r>
            <w:r w:rsidRPr="0065218E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poszczególnych kwot zaliczanych do pułapu Szkodowości jak i jego przekroczenia.</w:t>
            </w:r>
          </w:p>
          <w:p w:rsidR="0026230A" w:rsidRPr="00D20114" w:rsidRDefault="0026230A" w:rsidP="0026230A">
            <w:pPr>
              <w:pStyle w:val="Default"/>
              <w:numPr>
                <w:ilvl w:val="0"/>
                <w:numId w:val="7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przypadku, o którym mowa w </w:t>
            </w:r>
            <w:r w:rsidR="00680A15">
              <w:rPr>
                <w:rFonts w:asciiTheme="minorHAnsi" w:hAnsiTheme="minorHAnsi" w:cstheme="minorHAnsi"/>
                <w:b w:val="0"/>
                <w:sz w:val="22"/>
                <w:szCs w:val="22"/>
              </w:rPr>
              <w:t>pkt.13 2)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powyżej, Pośrednik Finansowy dokonuje wpłat kwot netto odzyskanych w wyniku dochodzenia przez Pośrednika Finansowego należności przeciwko Ostatecznym Odbiorcom z tytułu udzielonych Pożyczek tylko w przypadku, gdy łączna wartość kwot odzyskanych w procesie windykacji przekroczy kwotę wpłaconą przez Pośrednika Finansowego na rzecz Menadżera Funduszu Funduszy z tytułu przekroczenia pułapu Szkodowości. Wówczas wysokość kwoty należnej Menadżerowi stanowi różnica między łączną wartością kwot odzyskanych w procesie windykacji, a kwotą wpłaconą przez Pośrednika Finansowego z tytułu przekroczenia pułapu Szkodowości, w części proporcjonalnej do Udziału Menadżera Funduszu Funduszy w Pożyczkach.</w:t>
            </w:r>
          </w:p>
          <w:p w:rsidR="008B0263" w:rsidRPr="00D20114" w:rsidRDefault="008B0263">
            <w:pPr>
              <w:rPr>
                <w:rFonts w:asciiTheme="minorHAnsi" w:hAnsiTheme="minorHAnsi" w:cstheme="minorHAnsi"/>
                <w:b w:val="0"/>
              </w:rPr>
            </w:pP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E2" w:rsidRPr="00707369" w:rsidRDefault="0026230A" w:rsidP="00C117E2">
            <w:pPr>
              <w:jc w:val="center"/>
              <w:rPr>
                <w:rFonts w:asciiTheme="minorHAnsi" w:hAnsiTheme="minorHAnsi" w:cstheme="minorHAnsi"/>
                <w:u w:val="single"/>
              </w:rPr>
            </w:pPr>
            <w:r w:rsidRPr="00707369">
              <w:rPr>
                <w:rFonts w:asciiTheme="minorHAnsi" w:hAnsiTheme="minorHAnsi" w:cstheme="minorHAnsi"/>
                <w:u w:val="single"/>
              </w:rPr>
              <w:lastRenderedPageBreak/>
              <w:t>Przychody Funduszu Funduszy</w:t>
            </w: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0A" w:rsidRPr="00014CFB" w:rsidRDefault="0026230A" w:rsidP="00014CFB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Pośrednik Finansowy </w:t>
            </w:r>
            <w:r w:rsidR="00825FE5">
              <w:rPr>
                <w:rFonts w:asciiTheme="minorHAnsi" w:hAnsiTheme="minorHAnsi" w:cstheme="minorHAnsi"/>
                <w:b w:val="0"/>
                <w:sz w:val="22"/>
                <w:szCs w:val="22"/>
              </w:rPr>
              <w:t>lokuje wolne</w:t>
            </w:r>
            <w:r w:rsidR="0089736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środki będące Wkładem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Menadżera Funduszu Funduszy </w:t>
            </w:r>
            <w:r w:rsidR="00825FE5">
              <w:rPr>
                <w:rFonts w:asciiTheme="minorHAnsi" w:hAnsiTheme="minorHAnsi" w:cstheme="minorHAnsi"/>
                <w:b w:val="0"/>
                <w:sz w:val="22"/>
                <w:szCs w:val="22"/>
              </w:rPr>
              <w:t>przekazując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środki z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rachunku </w:t>
            </w:r>
            <w:r w:rsidR="001C2BC4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 Wkładem Funduszu 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Funduszy na ,,</w:t>
            </w:r>
            <w:r w:rsidR="006F37B2">
              <w:rPr>
                <w:rFonts w:asciiTheme="minorHAnsi" w:hAnsiTheme="minorHAnsi" w:cstheme="minorHAnsi"/>
                <w:b w:val="0"/>
                <w:sz w:val="22"/>
                <w:szCs w:val="22"/>
              </w:rPr>
              <w:t>R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achunek </w:t>
            </w:r>
            <w:r w:rsidR="006F37B2"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okat</w:t>
            </w:r>
            <w:r w:rsid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”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D02D94">
              <w:rPr>
                <w:rFonts w:asciiTheme="minorHAnsi" w:hAnsiTheme="minorHAnsi" w:cstheme="minorHAnsi"/>
                <w:b w:val="0"/>
                <w:sz w:val="22"/>
                <w:szCs w:val="22"/>
              </w:rPr>
              <w:br/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z którego zakładany jest depozyt bankowy.</w:t>
            </w:r>
          </w:p>
          <w:p w:rsidR="001C2BC4" w:rsidRPr="00014CFB" w:rsidRDefault="001C2BC4" w:rsidP="0080260E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</w:pP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zobligowany </w:t>
            </w:r>
            <w:r w:rsidR="00371A47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jest 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do lokowania wkładu Menadżera Funduszu Funduszy w sposób zapewniający zwrot ulokowanego kapitału wraz z odsetkami</w:t>
            </w:r>
            <w:r w:rsidR="006F37B2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na ,, Rachunek L</w:t>
            </w:r>
            <w:r w:rsidR="00212358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okat’’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 dniu zapadalności</w:t>
            </w:r>
            <w:r w:rsidR="00212358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lokaty.</w:t>
            </w:r>
            <w:r w:rsidR="00371A4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80260E" w:rsidRPr="00014CFB" w:rsidRDefault="0080260E" w:rsidP="0080260E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Rachunek </w:t>
            </w:r>
            <w:r w:rsidR="006F37B2">
              <w:rPr>
                <w:rFonts w:asciiTheme="minorHAnsi" w:hAnsiTheme="minorHAnsi" w:cstheme="minorHAnsi"/>
                <w:b w:val="0"/>
                <w:sz w:val="22"/>
                <w:szCs w:val="22"/>
              </w:rPr>
              <w:t>L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okat jest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rachunkiem przepł</w:t>
            </w:r>
            <w:r w:rsidR="00014CFB"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>ywowym, na którym, co do zasady</w:t>
            </w:r>
            <w:r w:rsid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014CFB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środki finansowe nie powinny być przechowywane. </w:t>
            </w:r>
          </w:p>
          <w:p w:rsidR="004A193A" w:rsidRPr="007A1D8A" w:rsidRDefault="00AA4032" w:rsidP="0080260E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 zapadnięciu lokaty </w:t>
            </w:r>
            <w:r w:rsidR="00D02D94">
              <w:rPr>
                <w:rFonts w:asciiTheme="minorHAnsi" w:hAnsiTheme="minorHAnsi" w:cstheme="minorHAnsi"/>
                <w:b w:val="0"/>
                <w:sz w:val="22"/>
                <w:szCs w:val="22"/>
              </w:rPr>
              <w:t>kapitał będący</w:t>
            </w:r>
            <w:r w:rsidR="004A193A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Wkładem Men</w:t>
            </w:r>
            <w:r w:rsidR="00D02D94">
              <w:rPr>
                <w:rFonts w:asciiTheme="minorHAnsi" w:hAnsiTheme="minorHAnsi" w:cstheme="minorHAnsi"/>
                <w:b w:val="0"/>
                <w:sz w:val="22"/>
                <w:szCs w:val="22"/>
              </w:rPr>
              <w:t>adżera Funduszu Funduszy zostaje zwrócony</w:t>
            </w:r>
            <w:r w:rsidR="004A193A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 rachunku lokat na Rachunek Wkładu Funduszu Funduszy.</w:t>
            </w:r>
          </w:p>
          <w:p w:rsidR="009676CE" w:rsidRDefault="009676CE" w:rsidP="008771E0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O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dsetki z tytułu lokowania</w:t>
            </w: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środków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0722AC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zostają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zwrócone</w:t>
            </w:r>
            <w:r w:rsidR="00C10537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366F75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bezpośrednio</w:t>
            </w:r>
            <w:r w:rsidR="000722AC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="0040121F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z</w:t>
            </w:r>
            <w:r w:rsidR="00FD6852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rachunku lokat </w:t>
            </w:r>
            <w:r w:rsidR="00366F75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na rachunek Menadżera Fund</w:t>
            </w:r>
            <w:r w:rsidR="00DC551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uszu Funduszy wskazany w Umowie </w:t>
            </w:r>
            <w:r w:rsidR="00366F75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Operacyjnej</w:t>
            </w:r>
            <w:r w:rsidR="008771E0"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 </w:t>
            </w:r>
          </w:p>
          <w:p w:rsidR="009676CE" w:rsidRDefault="009676CE" w:rsidP="008771E0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Zwrot środków określony w pkt. 4 i 5 odbywa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się niezwłocznie, po </w:t>
            </w:r>
            <w:r w:rsidRPr="009676CE">
              <w:rPr>
                <w:rFonts w:asciiTheme="minorHAnsi" w:hAnsiTheme="minorHAnsi" w:cstheme="minorHAnsi"/>
                <w:b w:val="0"/>
                <w:sz w:val="22"/>
                <w:szCs w:val="22"/>
              </w:rPr>
              <w:t>zapadnięciu lokaty.</w:t>
            </w:r>
          </w:p>
          <w:p w:rsidR="00DC5513" w:rsidRDefault="009676CE" w:rsidP="003D64FD">
            <w:pPr>
              <w:pStyle w:val="Default"/>
              <w:numPr>
                <w:ilvl w:val="0"/>
                <w:numId w:val="9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Przychody ze środków Wkładu Menadżera Funduszu Funduszy, w szczególności odsetki </w:t>
            </w:r>
            <w:r w:rsidR="00DC551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 tytułu lokowania środków, odsetki 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>od oprocentowanego rachunku bankowego na którym znajdował się wkład MFF oraz</w:t>
            </w:r>
            <w:r w:rsidR="005408C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wszelkie</w:t>
            </w:r>
            <w:r w:rsidRPr="007A1D8A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inne przychody, zostają bezpośrednio zwrócone na rachunek Menadżera Funduszu Funduszy wskazany w Umowie Operacyjnej. </w:t>
            </w:r>
          </w:p>
          <w:p w:rsidR="00D02D94" w:rsidRDefault="00D02D94" w:rsidP="00D02D94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02D94" w:rsidRDefault="00D02D94" w:rsidP="00D02D94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  <w:p w:rsidR="00D02D94" w:rsidRPr="003D64FD" w:rsidRDefault="00D02D94" w:rsidP="00D02D94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26230A" w:rsidP="0026230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Niewykorzystany Wkład Funduszu Funduszy</w:t>
            </w:r>
          </w:p>
          <w:p w:rsidR="00C117E2" w:rsidRPr="00707369" w:rsidRDefault="00C117E2" w:rsidP="002623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6230A" w:rsidRPr="0008728F" w:rsidRDefault="0026230A" w:rsidP="0026230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Środki niewykorzystane przez Ostatecznych Odbiorców zostają zwrócone na rachunek Wypłat Pożyczek.</w:t>
            </w:r>
          </w:p>
          <w:p w:rsidR="0026230A" w:rsidRPr="0008728F" w:rsidRDefault="0026230A" w:rsidP="0026230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zobowiązany jest </w:t>
            </w:r>
            <w:r w:rsidR="00910917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do niezwłocznego</w:t>
            </w: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przekazania </w:t>
            </w:r>
            <w:r w:rsidR="00910917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niewykorzystanych przez Ostatecznych Odbiorców środków</w:t>
            </w:r>
            <w:r w:rsidR="00DC5513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 rachunku Wypłat Pożyczek</w:t>
            </w:r>
            <w:r w:rsidR="00910917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na rachunek z Wkładem Funduszu Funduszy (w udziale FF).</w:t>
            </w:r>
          </w:p>
          <w:p w:rsidR="0026230A" w:rsidRPr="0008728F" w:rsidRDefault="0026230A" w:rsidP="0026230A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Okresie Budowy Portfela Pośrednik Finansowy przeznacza niewykorzystany wkład MFF na udzielenie Pożyczek na rzecz innych Ostatecznych Odbiorców. </w:t>
            </w:r>
          </w:p>
          <w:p w:rsidR="008B0263" w:rsidRPr="00910917" w:rsidRDefault="0026230A" w:rsidP="00CE0CD5">
            <w:pPr>
              <w:pStyle w:val="Default"/>
              <w:numPr>
                <w:ilvl w:val="0"/>
                <w:numId w:val="10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Po zakończeniu Okresu Budowy Portfela Pośrednik Finansowy zwraca niewykorzystany Wkład Funduszu Funduszy na odpowiedni Rach</w:t>
            </w:r>
            <w:r w:rsidR="0089736B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unek Bankowy Funduszu </w:t>
            </w:r>
            <w:r w:rsidR="00910917" w:rsidRPr="0008728F">
              <w:rPr>
                <w:rFonts w:asciiTheme="minorHAnsi" w:hAnsiTheme="minorHAnsi" w:cstheme="minorHAnsi"/>
                <w:b w:val="0"/>
                <w:sz w:val="22"/>
                <w:szCs w:val="22"/>
              </w:rPr>
              <w:t>Funduszy.</w:t>
            </w:r>
          </w:p>
        </w:tc>
      </w:tr>
      <w:tr w:rsidR="00CE0CD5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E0CD5" w:rsidRPr="00707369" w:rsidRDefault="00CE0CD5" w:rsidP="00CE0CD5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Zapłata kar umownych</w:t>
            </w:r>
          </w:p>
          <w:p w:rsidR="00CE0CD5" w:rsidRPr="00707369" w:rsidRDefault="00CE0CD5" w:rsidP="00CE0CD5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D20114" w:rsidRDefault="0026230A" w:rsidP="0077187C">
            <w:pPr>
              <w:pStyle w:val="Akapitzlist"/>
              <w:numPr>
                <w:ilvl w:val="3"/>
                <w:numId w:val="10"/>
              </w:numPr>
              <w:ind w:left="709" w:hanging="283"/>
              <w:jc w:val="both"/>
              <w:rPr>
                <w:rFonts w:asciiTheme="minorHAnsi" w:hAnsiTheme="minorHAnsi" w:cstheme="minorHAnsi"/>
                <w:b w:val="0"/>
              </w:rPr>
            </w:pPr>
            <w:r w:rsidRPr="00D20114">
              <w:rPr>
                <w:rFonts w:asciiTheme="minorHAnsi" w:hAnsiTheme="minorHAnsi" w:cstheme="minorHAnsi"/>
                <w:b w:val="0"/>
              </w:rPr>
              <w:t xml:space="preserve">Kara umowna jest wpłacana przez Pośrednika Finansowego na wskazany przez Menadżera Rachunek Bankowy Funduszu Funduszy w terminie 30 dni kalendarzowych od dnia </w:t>
            </w:r>
            <w:r w:rsidR="003D64FD">
              <w:rPr>
                <w:rFonts w:asciiTheme="minorHAnsi" w:hAnsiTheme="minorHAnsi" w:cstheme="minorHAnsi"/>
                <w:b w:val="0"/>
              </w:rPr>
              <w:t xml:space="preserve">otrzymania </w:t>
            </w:r>
            <w:r w:rsidRPr="00D20114">
              <w:rPr>
                <w:rFonts w:asciiTheme="minorHAnsi" w:hAnsiTheme="minorHAnsi" w:cstheme="minorHAnsi"/>
                <w:b w:val="0"/>
              </w:rPr>
              <w:t>wezwania do zapłaty kary.</w:t>
            </w: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26230A" w:rsidP="0026230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Wypłata wynagrodzenia Pośrednika Finansowego</w:t>
            </w:r>
          </w:p>
          <w:p w:rsidR="00CE0CD5" w:rsidRPr="00707369" w:rsidRDefault="00CE0CD5" w:rsidP="002623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736B" w:rsidRPr="005A13FD" w:rsidRDefault="0089736B" w:rsidP="0089736B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Opłata za Zarządzanie wyliczana jest przez Menadżera Funduszu Funduszy na podstawie danych </w:t>
            </w:r>
            <w:r w:rsidR="00910917">
              <w:rPr>
                <w:rFonts w:asciiTheme="minorHAnsi" w:hAnsiTheme="minorHAnsi" w:cstheme="minorHAnsi"/>
                <w:b w:val="0"/>
                <w:sz w:val="22"/>
                <w:szCs w:val="22"/>
              </w:rPr>
              <w:t>przekazanych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przez Pośrednika Finansowego w Sprawozdaniach kwartalnych i zależna jest od postępu rzeczo</w:t>
            </w:r>
            <w:r w:rsidR="00910917">
              <w:rPr>
                <w:rFonts w:asciiTheme="minorHAnsi" w:hAnsiTheme="minorHAnsi" w:cstheme="minorHAnsi"/>
                <w:b w:val="0"/>
                <w:sz w:val="22"/>
                <w:szCs w:val="22"/>
              </w:rPr>
              <w:t>wo – finansowego realizacji Umowy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26230A" w:rsidRPr="00E75CA8" w:rsidRDefault="0026230A" w:rsidP="005A13FD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Opłata za Zarządzanie wypłacana jest Pośrednikowi Finansowemu w okresach kwartalnych, na podstawie wystawionej przez Pośrednika Finansowego </w:t>
            </w:r>
            <w:r w:rsidR="00910917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faktury</w:t>
            </w:r>
            <w:r w:rsidR="00052626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/wniosku o wypłatę wynagrodzenia</w:t>
            </w:r>
            <w:r w:rsidR="00910917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za</w:t>
            </w: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wszystkie miesiące danego kwartału, w terminie 5 dni </w:t>
            </w:r>
            <w:r w:rsidR="00910917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Roboczych od</w:t>
            </w:r>
            <w:r w:rsidR="0089736B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dnia j</w:t>
            </w:r>
            <w:r w:rsidR="00FC3171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ej dostarczenia do Menadżera FF</w:t>
            </w:r>
            <w:r w:rsidR="00047991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</w:p>
          <w:p w:rsidR="00E27844" w:rsidRPr="00E27844" w:rsidRDefault="0026230A" w:rsidP="009E6F42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Faktura</w:t>
            </w:r>
            <w:r w:rsidR="00E27844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/wniosek o wypłatę wynagrodzenia</w:t>
            </w:r>
            <w:r w:rsidR="0034304B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o</w:t>
            </w:r>
            <w:r w:rsidR="00FC3171" w:rsidRPr="00E75CA8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C3171" w:rsidRPr="00E75CA8">
              <w:rPr>
                <w:rFonts w:asciiTheme="minorHAnsi" w:hAnsiTheme="minorHAnsi" w:cstheme="minorHAnsi"/>
                <w:b w:val="0"/>
                <w:sz w:val="22"/>
                <w:szCs w:val="22"/>
              </w:rPr>
              <w:t>której mowa w pkt</w:t>
            </w:r>
            <w:r w:rsidR="00FC3171"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. 2</w:t>
            </w:r>
            <w:r w:rsidR="0034304B">
              <w:rPr>
                <w:rFonts w:asciiTheme="minorHAnsi" w:hAnsiTheme="minorHAnsi" w:cstheme="minorHAnsi"/>
                <w:b w:val="0"/>
                <w:sz w:val="22"/>
                <w:szCs w:val="22"/>
              </w:rPr>
              <w:t>,</w:t>
            </w:r>
            <w:r w:rsidR="00FC3171"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wystawiana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jest przez Pośrednika Finansowego, po zatwierdzeniu Sprawozdania Kwartalnego pr</w:t>
            </w:r>
            <w:r w:rsidR="0089736B"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zez Menadżera Funduszu Funduszy</w:t>
            </w:r>
            <w:r w:rsidR="003764E4">
              <w:rPr>
                <w:rFonts w:asciiTheme="minorHAnsi" w:hAnsiTheme="minorHAnsi" w:cstheme="minorHAnsi"/>
                <w:b w:val="0"/>
                <w:sz w:val="22"/>
                <w:szCs w:val="22"/>
              </w:rPr>
              <w:t>.</w:t>
            </w:r>
            <w:r w:rsidR="0089736B"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</w:p>
          <w:p w:rsidR="0026230A" w:rsidRPr="005A13FD" w:rsidRDefault="0026230A" w:rsidP="009E6F42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lastRenderedPageBreak/>
              <w:t xml:space="preserve">W przypadku, gdy Opłata za Zarządzanie zostanie wypłacona Pośrednikowi Finansowemu w sposób nienależny, w szczególności w związku z: 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wypłatą Wkładu Funduszu Funduszy w sposób niezgodny z postanowieniami Umowy,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2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niewykorzystaniem w części lub w całości Pożyczki przez Ostatecznego Odbiorcę na cele określone w Umowie Pożyczki, </w:t>
            </w:r>
          </w:p>
          <w:p w:rsidR="0026230A" w:rsidRPr="005A13FD" w:rsidRDefault="0026230A" w:rsidP="0026230A">
            <w:pPr>
              <w:pStyle w:val="Default"/>
              <w:ind w:left="717"/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kwota odpowiadająca nienależnej Opłacie za Zarządzanie podlega zwrotowi na Rachunki Bankowe Funduszu Funduszy, z których Pośrednik Finansowy otrzymał nienależną Opłatę za Zarządzanie, wraz z odsetkami jak dla zaległości podatkowych obliczanych od dnia wypłaty nienależnej Opłaty za Zarządzanie, do dnia jej zwrotu lub k</w:t>
            </w:r>
            <w:r w:rsidR="00E27844">
              <w:rPr>
                <w:rFonts w:asciiTheme="minorHAnsi" w:hAnsiTheme="minorHAnsi" w:cstheme="minorHAnsi"/>
                <w:b w:val="0"/>
                <w:sz w:val="22"/>
                <w:szCs w:val="22"/>
              </w:rPr>
              <w:t>ompensaty, o której mowa w pkt.7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. poniżej.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może odstąpić od żądania zwrotu Opłaty za Zarządzanie z tytułu oko</w:t>
            </w:r>
            <w:r w:rsidR="00E27844">
              <w:rPr>
                <w:rFonts w:asciiTheme="minorHAnsi" w:hAnsiTheme="minorHAnsi" w:cstheme="minorHAnsi"/>
                <w:b w:val="0"/>
                <w:sz w:val="22"/>
                <w:szCs w:val="22"/>
              </w:rPr>
              <w:t>liczności o których mowa w pkt.4</w:t>
            </w: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.b) powyżej, które wystąpiły po zakończeniu Okresu Budowy Portfela, jeżeli Pośrednik Finansowy wykaże, iż niewykorzystanie przez Ostatecznego Odbiorcę części lub całości  Pożyczki na cele określone w Umowie Inwestycyjnej, nastąpiło wyłącznie z winy Ostatecznego Odbiorcy, a Pośrednik Finansowy dokonał wszelkich starań, aby środki Pożyczki zostały w pełni wykorzystane w sposób zgodny z Umową. 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Pośrednik Finansowy zwraca nienależną Opłatę za Zarządzanie: 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niezwłocznie, po konsultacji z Menadżerem, lecz bez jego wezwania, w przypadku zidentyfikowania przez Pośrednika Finansowego nienależnie otrzymanej Opłaty za Zarządzanie,</w:t>
            </w:r>
          </w:p>
          <w:p w:rsidR="0026230A" w:rsidRPr="005A13FD" w:rsidRDefault="0026230A" w:rsidP="0026230A">
            <w:pPr>
              <w:pStyle w:val="Default"/>
              <w:numPr>
                <w:ilvl w:val="0"/>
                <w:numId w:val="13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w ciągu 3 Dni Roboczych od dnia wezwania Pośrednika Finansowego przez Menadżera, w przypadku zidentyfikowania przez Menadżera nienależnie wypłaconej Opłaty za Zarządzanie.</w:t>
            </w:r>
          </w:p>
          <w:p w:rsidR="008B0263" w:rsidRPr="005A13FD" w:rsidRDefault="0026230A" w:rsidP="0026230A">
            <w:pPr>
              <w:pStyle w:val="Default"/>
              <w:numPr>
                <w:ilvl w:val="0"/>
                <w:numId w:val="11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5A13FD">
              <w:rPr>
                <w:rFonts w:asciiTheme="minorHAnsi" w:hAnsiTheme="minorHAnsi" w:cstheme="minorHAnsi"/>
                <w:b w:val="0"/>
                <w:sz w:val="22"/>
                <w:szCs w:val="22"/>
              </w:rPr>
              <w:t>Menadżer ma prawo do dokonania potrącenia wymagalnych zobowiązań Pośrednika Finansowego z tytułu Umowy z wszelkimi wymagalnymi zobowiązaniami Menadżera wobec Pośrednika Finansowego, w tym z tytułu należnej mu Opłaty za Zarządzanie.</w:t>
            </w:r>
          </w:p>
        </w:tc>
      </w:tr>
      <w:tr w:rsidR="008B0263" w:rsidRPr="00707369" w:rsidTr="00A9143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0263" w:rsidRPr="00707369" w:rsidRDefault="0026230A" w:rsidP="0026230A">
            <w:pPr>
              <w:pStyle w:val="Default"/>
              <w:jc w:val="center"/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  <w:u w:val="single"/>
              </w:rPr>
            </w:pPr>
            <w:r w:rsidRPr="00707369">
              <w:rPr>
                <w:rFonts w:asciiTheme="minorHAnsi" w:hAnsiTheme="minorHAnsi" w:cstheme="minorHAnsi"/>
                <w:sz w:val="22"/>
                <w:szCs w:val="22"/>
                <w:u w:val="single"/>
              </w:rPr>
              <w:lastRenderedPageBreak/>
              <w:t>Postępowanie z należnościami przeterminowanymi</w:t>
            </w:r>
          </w:p>
          <w:p w:rsidR="00CE0CD5" w:rsidRPr="00707369" w:rsidRDefault="00CE0CD5" w:rsidP="0026230A">
            <w:pPr>
              <w:pStyle w:val="Default"/>
              <w:jc w:val="center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</w:tc>
      </w:tr>
      <w:tr w:rsidR="008B0263" w:rsidRPr="00D20114" w:rsidTr="00A914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117E2" w:rsidRPr="00D20114" w:rsidRDefault="00C117E2" w:rsidP="00C117E2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Menadżer monitoruje terminowość wpływu należności z tytułu: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Zasobów Zwróconych,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Przychodów Funduszu Funduszy,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kar umownych, </w:t>
            </w:r>
          </w:p>
          <w:p w:rsidR="00C117E2" w:rsidRPr="00D20114" w:rsidRDefault="00047991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sz w:val="22"/>
                <w:szCs w:val="22"/>
              </w:rPr>
              <w:t>nienależnej Opłaty za Zarzą</w:t>
            </w:r>
            <w:r w:rsidR="00C117E2"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dzanie,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5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przekroczenia pułapu Szkodowości.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W przypadku stwierdzenia braku wpływu należności, o których mowa w pkt.1, Menadżer wzywa w formie pisemnej Pośrednika Finansowego do spłaty należności, wyznaczając dodatkowy termin spłaty należności. Pośrednik Finansowy tym samym będzie zobowiązany do zwrotu należności wraz z odsetkami w wysokości określonej jak dla zaległości podatkowych.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Odsetek za zwłokę nie nalicza się, jeżeli wysokość odsetek nie przekracza trzykrotności wartości opłaty pobieranej przez operatora wyznaczonego w rozumieniu ustawy z dnia 23 listopada 2012 r. – Prawo pocztowe za traktowanie przesyłki listowej jako przesyłki poleconej. </w:t>
            </w:r>
          </w:p>
          <w:p w:rsidR="00C117E2" w:rsidRPr="00D20114" w:rsidRDefault="00C117E2" w:rsidP="00C117E2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>Dodatkowy termin spłaty należności ustalany jest na</w:t>
            </w:r>
            <w:r w:rsidRPr="00D20114">
              <w:rPr>
                <w:rFonts w:asciiTheme="minorHAnsi" w:hAnsiTheme="minorHAnsi" w:cstheme="minorHAnsi"/>
                <w:b w:val="0"/>
                <w:color w:val="FF0000"/>
                <w:sz w:val="22"/>
                <w:szCs w:val="22"/>
              </w:rPr>
              <w:t xml:space="preserve"> </w:t>
            </w:r>
            <w:r w:rsidRPr="00D20114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</w:rPr>
              <w:t xml:space="preserve">5 </w:t>
            </w: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Dni Roboczych od dnia otrzymania wezwania, o którym mowa w pkt.2. powyżej. </w:t>
            </w:r>
          </w:p>
          <w:p w:rsidR="008B0263" w:rsidRPr="00D20114" w:rsidRDefault="00C117E2" w:rsidP="00C117E2">
            <w:pPr>
              <w:pStyle w:val="Default"/>
              <w:numPr>
                <w:ilvl w:val="0"/>
                <w:numId w:val="14"/>
              </w:numPr>
              <w:jc w:val="both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D20114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Brak spłaty należności, o których mowa w pkt. 1. 1) – 2) powyżej, stanowi podstawę do niezatwierdzenia Sprawozdania kwartalnego oraz może stanowić przesłankę do wypowiedzenia Umowy przez Menadżera. </w:t>
            </w:r>
          </w:p>
        </w:tc>
      </w:tr>
    </w:tbl>
    <w:p w:rsidR="008B0263" w:rsidRDefault="008B0263"/>
    <w:sectPr w:rsidR="008B0263" w:rsidSect="008B026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90222" w:rsidRDefault="00A90222" w:rsidP="008B0263">
      <w:pPr>
        <w:spacing w:after="0" w:line="240" w:lineRule="auto"/>
      </w:pPr>
      <w:r>
        <w:separator/>
      </w:r>
    </w:p>
  </w:endnote>
  <w:endnote w:type="continuationSeparator" w:id="0">
    <w:p w:rsidR="00A90222" w:rsidRDefault="00A90222" w:rsidP="008B0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7F" w:rsidRDefault="00E84F7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1241182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E66C8" w:rsidRDefault="002E66C8">
            <w:pPr>
              <w:pStyle w:val="Stopka"/>
              <w:jc w:val="center"/>
            </w:pPr>
            <w:r w:rsidRPr="002E66C8">
              <w:rPr>
                <w:bCs/>
                <w:sz w:val="24"/>
                <w:szCs w:val="24"/>
              </w:rPr>
              <w:fldChar w:fldCharType="begin"/>
            </w:r>
            <w:r w:rsidRPr="002E66C8">
              <w:rPr>
                <w:bCs/>
              </w:rPr>
              <w:instrText>PAGE</w:instrText>
            </w:r>
            <w:r w:rsidRPr="002E66C8">
              <w:rPr>
                <w:bCs/>
                <w:sz w:val="24"/>
                <w:szCs w:val="24"/>
              </w:rPr>
              <w:fldChar w:fldCharType="separate"/>
            </w:r>
            <w:r w:rsidR="006C0363">
              <w:rPr>
                <w:bCs/>
                <w:noProof/>
              </w:rPr>
              <w:t>6</w:t>
            </w:r>
            <w:r w:rsidRPr="002E66C8">
              <w:rPr>
                <w:bCs/>
                <w:sz w:val="24"/>
                <w:szCs w:val="24"/>
              </w:rPr>
              <w:fldChar w:fldCharType="end"/>
            </w:r>
            <w:r w:rsidRPr="002E66C8">
              <w:t xml:space="preserve"> z </w:t>
            </w:r>
            <w:r w:rsidRPr="002E66C8">
              <w:rPr>
                <w:bCs/>
                <w:sz w:val="24"/>
                <w:szCs w:val="24"/>
              </w:rPr>
              <w:fldChar w:fldCharType="begin"/>
            </w:r>
            <w:r w:rsidRPr="002E66C8">
              <w:rPr>
                <w:bCs/>
              </w:rPr>
              <w:instrText>NUMPAGES</w:instrText>
            </w:r>
            <w:r w:rsidRPr="002E66C8">
              <w:rPr>
                <w:bCs/>
                <w:sz w:val="24"/>
                <w:szCs w:val="24"/>
              </w:rPr>
              <w:fldChar w:fldCharType="separate"/>
            </w:r>
            <w:r w:rsidR="006C0363">
              <w:rPr>
                <w:bCs/>
                <w:noProof/>
              </w:rPr>
              <w:t>6</w:t>
            </w:r>
            <w:r w:rsidRPr="002E66C8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E6F42" w:rsidRDefault="009E6F42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7F" w:rsidRDefault="00E84F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90222" w:rsidRDefault="00A90222" w:rsidP="008B0263">
      <w:pPr>
        <w:spacing w:after="0" w:line="240" w:lineRule="auto"/>
      </w:pPr>
      <w:r>
        <w:separator/>
      </w:r>
    </w:p>
  </w:footnote>
  <w:footnote w:type="continuationSeparator" w:id="0">
    <w:p w:rsidR="00A90222" w:rsidRDefault="00A90222" w:rsidP="008B0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7F" w:rsidRDefault="00E84F7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6F42" w:rsidRDefault="00E84F7F" w:rsidP="008B0263">
    <w:pPr>
      <w:pStyle w:val="Nagwek"/>
    </w:pPr>
    <w:r>
      <w:rPr>
        <w:noProof/>
        <w:lang w:eastAsia="pl-PL"/>
      </w:rPr>
      <w:drawing>
        <wp:inline distT="0" distB="0" distL="0" distR="0" wp14:anchorId="6B0C1111" wp14:editId="48F7B3AF">
          <wp:extent cx="5760720" cy="817245"/>
          <wp:effectExtent l="0" t="0" r="0" b="1905"/>
          <wp:docPr id="1" name="Obraz 1" descr="http://www.mojregion.eu/files/obrazki/logotypy/EFRR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ojregion.eu/files/obrazki/logotypy/EFRR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17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E6F42">
      <w:t xml:space="preserve">                      </w:t>
    </w:r>
    <w:r w:rsidR="009E6F42">
      <w:ptab w:relativeTo="margin" w:alignment="center" w:leader="none"/>
    </w:r>
    <w:r w:rsidR="009E6F42">
      <w:ptab w:relativeTo="margin" w:alignment="right" w:leader="none"/>
    </w:r>
  </w:p>
  <w:p w:rsidR="009E6F42" w:rsidRDefault="009E6F4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4F7F" w:rsidRDefault="00E84F7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A6EFB"/>
    <w:multiLevelType w:val="hybridMultilevel"/>
    <w:tmpl w:val="FC0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885DF8"/>
    <w:multiLevelType w:val="hybridMultilevel"/>
    <w:tmpl w:val="268E949E"/>
    <w:lvl w:ilvl="0" w:tplc="0E72A51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8F08BB"/>
    <w:multiLevelType w:val="hybridMultilevel"/>
    <w:tmpl w:val="20629A3C"/>
    <w:lvl w:ilvl="0" w:tplc="067660E2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15E34AF0"/>
    <w:multiLevelType w:val="hybridMultilevel"/>
    <w:tmpl w:val="38C42156"/>
    <w:lvl w:ilvl="0" w:tplc="BA26CF4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4" w15:restartNumberingAfterBreak="0">
    <w:nsid w:val="16CF2654"/>
    <w:multiLevelType w:val="hybridMultilevel"/>
    <w:tmpl w:val="FC92F436"/>
    <w:lvl w:ilvl="0" w:tplc="49907E20">
      <w:start w:val="1"/>
      <w:numFmt w:val="decimal"/>
      <w:lvlText w:val="%1."/>
      <w:lvlJc w:val="left"/>
      <w:pPr>
        <w:ind w:left="717" w:hanging="360"/>
      </w:pPr>
      <w:rPr>
        <w:b w:val="0"/>
        <w:color w:val="000000" w:themeColor="text1"/>
        <w:sz w:val="22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5" w15:restartNumberingAfterBreak="0">
    <w:nsid w:val="1907581A"/>
    <w:multiLevelType w:val="hybridMultilevel"/>
    <w:tmpl w:val="D21AA624"/>
    <w:lvl w:ilvl="0" w:tplc="5EBCA90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8AF0CDD"/>
    <w:multiLevelType w:val="hybridMultilevel"/>
    <w:tmpl w:val="BC6400CE"/>
    <w:lvl w:ilvl="0" w:tplc="8E165CA6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2B5A4D69"/>
    <w:multiLevelType w:val="hybridMultilevel"/>
    <w:tmpl w:val="FC061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B54F05"/>
    <w:multiLevelType w:val="hybridMultilevel"/>
    <w:tmpl w:val="A0AEB29C"/>
    <w:lvl w:ilvl="0" w:tplc="F308313E">
      <w:start w:val="1"/>
      <w:numFmt w:val="decimal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9" w15:restartNumberingAfterBreak="0">
    <w:nsid w:val="31DE4D96"/>
    <w:multiLevelType w:val="hybridMultilevel"/>
    <w:tmpl w:val="80E4463C"/>
    <w:lvl w:ilvl="0" w:tplc="7C4CF5C0">
      <w:start w:val="1"/>
      <w:numFmt w:val="decimal"/>
      <w:lvlText w:val="%1)"/>
      <w:lvlJc w:val="left"/>
      <w:pPr>
        <w:ind w:left="1077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34751A50"/>
    <w:multiLevelType w:val="hybridMultilevel"/>
    <w:tmpl w:val="A7E47B82"/>
    <w:lvl w:ilvl="0" w:tplc="793683BE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1" w15:restartNumberingAfterBreak="0">
    <w:nsid w:val="3ED81625"/>
    <w:multiLevelType w:val="hybridMultilevel"/>
    <w:tmpl w:val="2BDAA980"/>
    <w:lvl w:ilvl="0" w:tplc="CC440B62">
      <w:start w:val="1"/>
      <w:numFmt w:val="decimal"/>
      <w:lvlText w:val="%1)"/>
      <w:lvlJc w:val="left"/>
      <w:pPr>
        <w:ind w:left="1068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A8D5901"/>
    <w:multiLevelType w:val="hybridMultilevel"/>
    <w:tmpl w:val="E77E78AC"/>
    <w:lvl w:ilvl="0" w:tplc="007AC1D4">
      <w:start w:val="1"/>
      <w:numFmt w:val="decimal"/>
      <w:lvlText w:val="%1."/>
      <w:lvlJc w:val="left"/>
      <w:pPr>
        <w:ind w:left="717" w:hanging="360"/>
      </w:pPr>
      <w:rPr>
        <w:rFonts w:ascii="Calibri" w:eastAsiaTheme="minorHAnsi" w:hAnsi="Calibri" w:cs="Calibri"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61FA7BFD"/>
    <w:multiLevelType w:val="hybridMultilevel"/>
    <w:tmpl w:val="2806E0E6"/>
    <w:lvl w:ilvl="0" w:tplc="1130D970">
      <w:start w:val="1"/>
      <w:numFmt w:val="lowerLetter"/>
      <w:lvlText w:val="%1)"/>
      <w:lvlJc w:val="left"/>
      <w:pPr>
        <w:ind w:left="1077" w:hanging="360"/>
      </w:pPr>
    </w:lvl>
    <w:lvl w:ilvl="1" w:tplc="04150019">
      <w:start w:val="1"/>
      <w:numFmt w:val="lowerLetter"/>
      <w:lvlText w:val="%2."/>
      <w:lvlJc w:val="left"/>
      <w:pPr>
        <w:ind w:left="1797" w:hanging="360"/>
      </w:pPr>
    </w:lvl>
    <w:lvl w:ilvl="2" w:tplc="0415001B">
      <w:start w:val="1"/>
      <w:numFmt w:val="lowerRoman"/>
      <w:lvlText w:val="%3."/>
      <w:lvlJc w:val="right"/>
      <w:pPr>
        <w:ind w:left="2517" w:hanging="180"/>
      </w:pPr>
    </w:lvl>
    <w:lvl w:ilvl="3" w:tplc="0415000F">
      <w:start w:val="1"/>
      <w:numFmt w:val="decimal"/>
      <w:lvlText w:val="%4."/>
      <w:lvlJc w:val="left"/>
      <w:pPr>
        <w:ind w:left="3237" w:hanging="360"/>
      </w:pPr>
    </w:lvl>
    <w:lvl w:ilvl="4" w:tplc="04150019">
      <w:start w:val="1"/>
      <w:numFmt w:val="lowerLetter"/>
      <w:lvlText w:val="%5."/>
      <w:lvlJc w:val="left"/>
      <w:pPr>
        <w:ind w:left="3957" w:hanging="360"/>
      </w:pPr>
    </w:lvl>
    <w:lvl w:ilvl="5" w:tplc="0415001B">
      <w:start w:val="1"/>
      <w:numFmt w:val="lowerRoman"/>
      <w:lvlText w:val="%6."/>
      <w:lvlJc w:val="right"/>
      <w:pPr>
        <w:ind w:left="4677" w:hanging="180"/>
      </w:pPr>
    </w:lvl>
    <w:lvl w:ilvl="6" w:tplc="0415000F">
      <w:start w:val="1"/>
      <w:numFmt w:val="decimal"/>
      <w:lvlText w:val="%7."/>
      <w:lvlJc w:val="left"/>
      <w:pPr>
        <w:ind w:left="5397" w:hanging="360"/>
      </w:pPr>
    </w:lvl>
    <w:lvl w:ilvl="7" w:tplc="04150019">
      <w:start w:val="1"/>
      <w:numFmt w:val="lowerLetter"/>
      <w:lvlText w:val="%8."/>
      <w:lvlJc w:val="left"/>
      <w:pPr>
        <w:ind w:left="6117" w:hanging="360"/>
      </w:pPr>
    </w:lvl>
    <w:lvl w:ilvl="8" w:tplc="0415001B">
      <w:start w:val="1"/>
      <w:numFmt w:val="lowerRoman"/>
      <w:lvlText w:val="%9."/>
      <w:lvlJc w:val="right"/>
      <w:pPr>
        <w:ind w:left="6837" w:hanging="180"/>
      </w:pPr>
    </w:lvl>
  </w:abstractNum>
  <w:abstractNum w:abstractNumId="14" w15:restartNumberingAfterBreak="0">
    <w:nsid w:val="626D47F0"/>
    <w:multiLevelType w:val="hybridMultilevel"/>
    <w:tmpl w:val="C646E362"/>
    <w:lvl w:ilvl="0" w:tplc="91AA8B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7BB804E2"/>
    <w:multiLevelType w:val="hybridMultilevel"/>
    <w:tmpl w:val="CB9CADF0"/>
    <w:lvl w:ilvl="0" w:tplc="7AA45C1A">
      <w:start w:val="1"/>
      <w:numFmt w:val="decimal"/>
      <w:lvlText w:val="%1)"/>
      <w:lvlJc w:val="left"/>
      <w:pPr>
        <w:ind w:left="1080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5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263"/>
    <w:rsid w:val="00014CFB"/>
    <w:rsid w:val="00047991"/>
    <w:rsid w:val="00052626"/>
    <w:rsid w:val="000678B3"/>
    <w:rsid w:val="000722AC"/>
    <w:rsid w:val="0008728F"/>
    <w:rsid w:val="000A34A9"/>
    <w:rsid w:val="00103CFC"/>
    <w:rsid w:val="00122598"/>
    <w:rsid w:val="00130C44"/>
    <w:rsid w:val="00136EE1"/>
    <w:rsid w:val="001B2FD0"/>
    <w:rsid w:val="001C1A52"/>
    <w:rsid w:val="001C2BC4"/>
    <w:rsid w:val="001D08FB"/>
    <w:rsid w:val="00212358"/>
    <w:rsid w:val="00225B85"/>
    <w:rsid w:val="0026230A"/>
    <w:rsid w:val="002761ED"/>
    <w:rsid w:val="002874DC"/>
    <w:rsid w:val="002965AC"/>
    <w:rsid w:val="002B2024"/>
    <w:rsid w:val="002E66C8"/>
    <w:rsid w:val="00341CEE"/>
    <w:rsid w:val="0034304B"/>
    <w:rsid w:val="00351791"/>
    <w:rsid w:val="003560E3"/>
    <w:rsid w:val="00366F75"/>
    <w:rsid w:val="00371A47"/>
    <w:rsid w:val="003764E4"/>
    <w:rsid w:val="003841F0"/>
    <w:rsid w:val="00391EEF"/>
    <w:rsid w:val="003A770F"/>
    <w:rsid w:val="003D64FD"/>
    <w:rsid w:val="003F549C"/>
    <w:rsid w:val="0040121F"/>
    <w:rsid w:val="004400D3"/>
    <w:rsid w:val="004A193A"/>
    <w:rsid w:val="004D05FB"/>
    <w:rsid w:val="00520D2D"/>
    <w:rsid w:val="0052384F"/>
    <w:rsid w:val="005408C3"/>
    <w:rsid w:val="00546DAB"/>
    <w:rsid w:val="005539F5"/>
    <w:rsid w:val="005A13FD"/>
    <w:rsid w:val="005C1F0E"/>
    <w:rsid w:val="00620DAD"/>
    <w:rsid w:val="00621934"/>
    <w:rsid w:val="00633F8F"/>
    <w:rsid w:val="00644B31"/>
    <w:rsid w:val="0065218E"/>
    <w:rsid w:val="00680A15"/>
    <w:rsid w:val="0068366E"/>
    <w:rsid w:val="006C0363"/>
    <w:rsid w:val="006F37B2"/>
    <w:rsid w:val="006F6F34"/>
    <w:rsid w:val="00707369"/>
    <w:rsid w:val="0071201C"/>
    <w:rsid w:val="007256D6"/>
    <w:rsid w:val="0073567C"/>
    <w:rsid w:val="0077187C"/>
    <w:rsid w:val="007A1D8A"/>
    <w:rsid w:val="007E4796"/>
    <w:rsid w:val="0080260E"/>
    <w:rsid w:val="00825FE5"/>
    <w:rsid w:val="00867A8E"/>
    <w:rsid w:val="00875A1D"/>
    <w:rsid w:val="008771E0"/>
    <w:rsid w:val="0089736B"/>
    <w:rsid w:val="008B0263"/>
    <w:rsid w:val="008B7891"/>
    <w:rsid w:val="008B7D59"/>
    <w:rsid w:val="008F354B"/>
    <w:rsid w:val="00910917"/>
    <w:rsid w:val="00910EAF"/>
    <w:rsid w:val="009156D3"/>
    <w:rsid w:val="00917E91"/>
    <w:rsid w:val="009676CE"/>
    <w:rsid w:val="009E6F42"/>
    <w:rsid w:val="009F7345"/>
    <w:rsid w:val="00A90222"/>
    <w:rsid w:val="00A91434"/>
    <w:rsid w:val="00AA4032"/>
    <w:rsid w:val="00AB0789"/>
    <w:rsid w:val="00AC1C6E"/>
    <w:rsid w:val="00AC7D1B"/>
    <w:rsid w:val="00AE5842"/>
    <w:rsid w:val="00AF7087"/>
    <w:rsid w:val="00B34C3A"/>
    <w:rsid w:val="00B5733C"/>
    <w:rsid w:val="00B92444"/>
    <w:rsid w:val="00B96241"/>
    <w:rsid w:val="00C10537"/>
    <w:rsid w:val="00C117E2"/>
    <w:rsid w:val="00C408CB"/>
    <w:rsid w:val="00C8622E"/>
    <w:rsid w:val="00CC15FA"/>
    <w:rsid w:val="00CC7D7A"/>
    <w:rsid w:val="00CE0B6C"/>
    <w:rsid w:val="00CE0CD5"/>
    <w:rsid w:val="00D02D94"/>
    <w:rsid w:val="00D20114"/>
    <w:rsid w:val="00D423B3"/>
    <w:rsid w:val="00D73B4D"/>
    <w:rsid w:val="00DA2518"/>
    <w:rsid w:val="00DC5513"/>
    <w:rsid w:val="00DD1F2F"/>
    <w:rsid w:val="00E27844"/>
    <w:rsid w:val="00E31215"/>
    <w:rsid w:val="00E46083"/>
    <w:rsid w:val="00E5348D"/>
    <w:rsid w:val="00E65131"/>
    <w:rsid w:val="00E74120"/>
    <w:rsid w:val="00E75CA8"/>
    <w:rsid w:val="00E84F7F"/>
    <w:rsid w:val="00E91715"/>
    <w:rsid w:val="00EB0F06"/>
    <w:rsid w:val="00ED3418"/>
    <w:rsid w:val="00ED5122"/>
    <w:rsid w:val="00EE68EC"/>
    <w:rsid w:val="00F22A57"/>
    <w:rsid w:val="00F31DEC"/>
    <w:rsid w:val="00F34687"/>
    <w:rsid w:val="00F44F68"/>
    <w:rsid w:val="00F664C7"/>
    <w:rsid w:val="00F6696F"/>
    <w:rsid w:val="00FC3171"/>
    <w:rsid w:val="00FD6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01321BA"/>
  <w15:docId w15:val="{F5DB8B1E-8942-4EA7-8887-6AA616838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B0263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8B02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0263"/>
  </w:style>
  <w:style w:type="paragraph" w:styleId="Stopka">
    <w:name w:val="footer"/>
    <w:basedOn w:val="Normalny"/>
    <w:link w:val="StopkaZnak"/>
    <w:uiPriority w:val="99"/>
    <w:unhideWhenUsed/>
    <w:rsid w:val="008B02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0263"/>
  </w:style>
  <w:style w:type="paragraph" w:styleId="Tekstdymka">
    <w:name w:val="Balloon Text"/>
    <w:basedOn w:val="Normalny"/>
    <w:link w:val="TekstdymkaZnak"/>
    <w:uiPriority w:val="99"/>
    <w:semiHidden/>
    <w:unhideWhenUsed/>
    <w:rsid w:val="008B02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B0263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B026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6230A"/>
    <w:pPr>
      <w:ind w:left="720"/>
      <w:contextualSpacing/>
    </w:pPr>
  </w:style>
  <w:style w:type="table" w:styleId="Jasnasiatkaakcent5">
    <w:name w:val="Light Grid Accent 5"/>
    <w:basedOn w:val="Standardowy"/>
    <w:uiPriority w:val="62"/>
    <w:rsid w:val="00D20114"/>
    <w:pPr>
      <w:spacing w:after="0" w:line="240" w:lineRule="auto"/>
    </w:pPr>
    <w:tblPr>
      <w:tblStyleRowBandSize w:val="1"/>
      <w:tblStyleColBandSize w:val="1"/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216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3B70EA-5328-4D5B-B1D8-0E724A109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2638</Words>
  <Characters>15828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ewelina wieczynska</dc:creator>
  <cp:keywords/>
  <dc:description/>
  <cp:lastModifiedBy>user</cp:lastModifiedBy>
  <cp:revision>8</cp:revision>
  <dcterms:created xsi:type="dcterms:W3CDTF">2017-07-26T07:43:00Z</dcterms:created>
  <dcterms:modified xsi:type="dcterms:W3CDTF">2017-11-09T13:38:00Z</dcterms:modified>
</cp:coreProperties>
</file>