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 xml:space="preserve">„Wybór Pośrednika Finansowego w celu wdrożenia i zarządzania Instrumentami Finansowymi - Fundusz Pożyczkowy, w ramach środków Funduszu </w:t>
      </w:r>
      <w:r w:rsidR="00891289">
        <w:t>Powierniczego”</w:t>
      </w:r>
      <w:r w:rsidR="00917AB2">
        <w:t>, nr ref. KPFR/PF/WR/2</w:t>
      </w:r>
      <w:r>
        <w:t>/2017.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58725B"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58725B" w:rsidRPr="003D68B0" w:rsidRDefault="0058725B" w:rsidP="0058725B">
      <w:pPr>
        <w:pStyle w:val="Akapitzlist"/>
        <w:spacing w:after="60" w:line="240" w:lineRule="auto"/>
        <w:ind w:left="284"/>
        <w:jc w:val="both"/>
        <w:rPr>
          <w:rFonts w:cs="Times New Roman"/>
          <w:color w:val="000000"/>
        </w:rPr>
      </w:pPr>
    </w:p>
    <w:p w:rsidR="00BF797B" w:rsidRPr="00BF797B" w:rsidRDefault="00BF797B" w:rsidP="00BF797B">
      <w:pPr>
        <w:pStyle w:val="Default"/>
        <w:numPr>
          <w:ilvl w:val="0"/>
          <w:numId w:val="2"/>
        </w:numPr>
        <w:spacing w:after="178"/>
        <w:ind w:left="426"/>
        <w:jc w:val="both"/>
        <w:rPr>
          <w:rFonts w:asciiTheme="minorHAnsi" w:hAnsiTheme="minorHAnsi"/>
          <w:color w:val="auto"/>
        </w:rPr>
      </w:pPr>
      <w:r w:rsidRPr="00F03DB7">
        <w:rPr>
          <w:rFonts w:asciiTheme="minorHAnsi" w:hAnsiTheme="minorHAnsi"/>
          <w:color w:val="auto"/>
        </w:rPr>
        <w:t xml:space="preserve">Przedmiotem zamówienia jest wybór Wykonawcy (zwanego również „Pośrednikiem Finansowymi” lub „PF”), który świadczyć będzie zleconą przez Zamawiającego usługę wdrożenia i zarządzania Instrumentem Finansowym - Fundusz Pożyczkowy, z którego udzielane będą Pożyczki oraz który będzie podlegał zwrotowi do Zamawiającego na warunkach określonych w „Istotnych Postanowieniach </w:t>
      </w:r>
      <w:r w:rsidRPr="00F03DB7">
        <w:t>Umowy Operacyjnej” (dalej: IPUO)</w:t>
      </w:r>
      <w:r w:rsidRPr="00F03DB7">
        <w:rPr>
          <w:rFonts w:asciiTheme="minorHAnsi" w:hAnsiTheme="minorHAnsi"/>
          <w:color w:val="auto"/>
        </w:rPr>
        <w:t xml:space="preserve">. </w:t>
      </w:r>
      <w:bookmarkStart w:id="2" w:name="_Hlk495493687"/>
      <w:r w:rsidRPr="00F03DB7">
        <w:rPr>
          <w:rFonts w:asciiTheme="minorHAnsi" w:hAnsiTheme="minorHAnsi"/>
          <w:color w:val="auto"/>
        </w:rPr>
        <w:t>Parametry udzielanych przez Wykonawcę Pożyczek</w:t>
      </w:r>
      <w:bookmarkEnd w:id="2"/>
      <w:r w:rsidRPr="00F03DB7">
        <w:rPr>
          <w:rFonts w:asciiTheme="minorHAnsi" w:hAnsiTheme="minorHAnsi"/>
          <w:color w:val="auto"/>
        </w:rPr>
        <w:t xml:space="preserve"> zostały określone w </w:t>
      </w:r>
      <w:bookmarkStart w:id="3" w:name="_Hlk495496507"/>
      <w:r w:rsidRPr="00F03DB7">
        <w:rPr>
          <w:rFonts w:asciiTheme="minorHAnsi" w:hAnsiTheme="minorHAnsi"/>
          <w:color w:val="auto"/>
        </w:rPr>
        <w:t xml:space="preserve">„Metryce Produktu Finansowego - Pożyczka obrotowa i Pożyczka inwestycyjna” </w:t>
      </w:r>
      <w:bookmarkEnd w:id="3"/>
      <w:r w:rsidRPr="00F03DB7">
        <w:rPr>
          <w:rFonts w:asciiTheme="minorHAnsi" w:hAnsiTheme="minorHAnsi"/>
          <w:color w:val="auto"/>
        </w:rPr>
        <w:t>stanowiącej załącznik nr 2 do  „IPUO</w:t>
      </w:r>
      <w:r w:rsidRPr="00F03DB7">
        <w:rPr>
          <w:color w:val="auto"/>
        </w:rPr>
        <w:t xml:space="preserve">”. </w:t>
      </w:r>
      <w:r w:rsidRPr="00F03DB7">
        <w:t xml:space="preserve">W ramach niniejszego Zamówienia Wykonawca będzie mógł również udzielać Pożyczek, których </w:t>
      </w:r>
      <w:r w:rsidRPr="00F03DB7">
        <w:rPr>
          <w:rFonts w:asciiTheme="minorHAnsi" w:hAnsiTheme="minorHAnsi"/>
          <w:color w:val="auto"/>
        </w:rPr>
        <w:t xml:space="preserve">zasady i warunki udzielania będą </w:t>
      </w:r>
      <w:r w:rsidRPr="00F03DB7">
        <w:t>określone w przetargach, do których Wykonawca będzie wnosił obowiązkowy Wkład Własny, pochodzący ze środków przekazanych przez Zamawiającego.</w:t>
      </w:r>
    </w:p>
    <w:p w:rsidR="00BF797B" w:rsidRDefault="00BF797B" w:rsidP="00BF797B">
      <w:pPr>
        <w:pStyle w:val="Default"/>
        <w:numPr>
          <w:ilvl w:val="0"/>
          <w:numId w:val="2"/>
        </w:numPr>
        <w:spacing w:after="178"/>
        <w:ind w:left="426"/>
        <w:jc w:val="both"/>
        <w:rPr>
          <w:rFonts w:asciiTheme="minorHAnsi" w:hAnsiTheme="minorHAnsi"/>
          <w:color w:val="auto"/>
        </w:rPr>
      </w:pPr>
      <w:r w:rsidRPr="007D401C">
        <w:rPr>
          <w:rFonts w:asciiTheme="minorHAnsi" w:hAnsiTheme="minorHAnsi"/>
          <w:color w:val="auto"/>
        </w:rPr>
        <w:t xml:space="preserve">W celu realizacji przedmiotu zamówienia, dokonano jego podziału na </w:t>
      </w:r>
      <w:r>
        <w:rPr>
          <w:rFonts w:asciiTheme="minorHAnsi" w:hAnsiTheme="minorHAnsi"/>
          <w:b/>
          <w:color w:val="auto"/>
        </w:rPr>
        <w:t>2</w:t>
      </w:r>
      <w:r w:rsidRPr="00380CA7">
        <w:rPr>
          <w:rFonts w:asciiTheme="minorHAnsi" w:hAnsiTheme="minorHAnsi"/>
          <w:b/>
          <w:color w:val="auto"/>
        </w:rPr>
        <w:t xml:space="preserve"> części </w:t>
      </w:r>
      <w:r w:rsidRPr="007D401C">
        <w:rPr>
          <w:rFonts w:asciiTheme="minorHAnsi" w:hAnsiTheme="minorHAnsi"/>
          <w:color w:val="auto"/>
        </w:rPr>
        <w:t xml:space="preserve">odpowiadające wartości wkładów finansowych planowanych do wniesienia z Funduszu </w:t>
      </w:r>
      <w:r>
        <w:rPr>
          <w:rFonts w:asciiTheme="minorHAnsi" w:hAnsiTheme="minorHAnsi"/>
          <w:color w:val="auto"/>
        </w:rPr>
        <w:t>Powierniczego</w:t>
      </w:r>
      <w:r w:rsidRPr="007D401C">
        <w:rPr>
          <w:rFonts w:asciiTheme="minorHAnsi" w:hAnsiTheme="minorHAnsi"/>
          <w:color w:val="auto"/>
        </w:rPr>
        <w:t xml:space="preserve"> do </w:t>
      </w:r>
      <w:r>
        <w:rPr>
          <w:rFonts w:asciiTheme="minorHAnsi" w:hAnsiTheme="minorHAnsi"/>
          <w:color w:val="auto"/>
        </w:rPr>
        <w:t>Instrumentu Finansowego utworzonego przez Pośrednika Finansowego</w:t>
      </w:r>
      <w:r w:rsidRPr="007D401C">
        <w:rPr>
          <w:rFonts w:asciiTheme="minorHAnsi" w:hAnsiTheme="minorHAnsi"/>
          <w:color w:val="auto"/>
        </w:rPr>
        <w:t>.</w:t>
      </w:r>
      <w:r>
        <w:rPr>
          <w:rFonts w:asciiTheme="minorHAnsi" w:hAnsiTheme="minorHAnsi"/>
          <w:color w:val="auto"/>
        </w:rPr>
        <w:t xml:space="preserve"> Wykonawca zobligowany jest do realizacji łącznie obu części Zamówienia.</w:t>
      </w:r>
    </w:p>
    <w:p w:rsidR="00BF797B" w:rsidRPr="00FB74CF" w:rsidRDefault="00BF797B" w:rsidP="00BF797B">
      <w:pPr>
        <w:pStyle w:val="Default"/>
        <w:numPr>
          <w:ilvl w:val="0"/>
          <w:numId w:val="2"/>
        </w:numPr>
        <w:spacing w:after="178"/>
        <w:ind w:left="426"/>
        <w:jc w:val="both"/>
        <w:rPr>
          <w:rFonts w:asciiTheme="minorHAnsi" w:hAnsiTheme="minorHAnsi"/>
          <w:color w:val="auto"/>
        </w:rPr>
      </w:pPr>
      <w:r w:rsidRPr="00FB74CF">
        <w:rPr>
          <w:rFonts w:asciiTheme="minorHAnsi" w:hAnsiTheme="minorHAnsi"/>
          <w:color w:val="000000" w:themeColor="text1"/>
        </w:rPr>
        <w:t xml:space="preserve">Część </w:t>
      </w:r>
      <w:r w:rsidRPr="00FB74CF">
        <w:rPr>
          <w:rFonts w:asciiTheme="minorHAnsi" w:hAnsiTheme="minorHAnsi"/>
          <w:b/>
          <w:color w:val="000000" w:themeColor="text1"/>
        </w:rPr>
        <w:t>I Zamówienia</w:t>
      </w:r>
      <w:r w:rsidRPr="00FB74CF">
        <w:rPr>
          <w:rFonts w:asciiTheme="minorHAnsi" w:hAnsiTheme="minorHAnsi"/>
          <w:color w:val="000000" w:themeColor="text1"/>
        </w:rPr>
        <w:t xml:space="preserve"> </w:t>
      </w:r>
      <w:r w:rsidRPr="00FB74CF">
        <w:rPr>
          <w:rFonts w:asciiTheme="minorHAnsi" w:hAnsiTheme="minorHAnsi"/>
          <w:color w:val="auto"/>
        </w:rPr>
        <w:t xml:space="preserve">obejmuje świadczenie przez Wykonawcę usługi wdrożenia </w:t>
      </w:r>
      <w:r w:rsidRPr="00FB74CF">
        <w:rPr>
          <w:rFonts w:asciiTheme="minorHAnsi" w:hAnsiTheme="minorHAnsi"/>
          <w:color w:val="auto"/>
        </w:rPr>
        <w:br/>
        <w:t xml:space="preserve">i zarządzania Instrumentem Finansowym - Fundusz Pożyczkowy, z którego udzielane będą Pożyczki, których  zasady i warunki udzielania będą </w:t>
      </w:r>
      <w:r>
        <w:t>określone w przetargach, do których Wykonawca będzie wnosił obowiązkowy Wkład Własny, pochodzący ze środków przekazanych przez Zamawiającego</w:t>
      </w:r>
      <w:r w:rsidRPr="00FB74CF">
        <w:rPr>
          <w:color w:val="auto"/>
        </w:rPr>
        <w:t xml:space="preserve"> w łącznej wysokości </w:t>
      </w:r>
      <w:r w:rsidRPr="00FB74CF">
        <w:rPr>
          <w:b/>
          <w:color w:val="auto"/>
        </w:rPr>
        <w:t>15 000 000 .</w:t>
      </w:r>
    </w:p>
    <w:p w:rsidR="00BF797B" w:rsidRDefault="00BF797B" w:rsidP="00BF797B">
      <w:pPr>
        <w:pStyle w:val="Default"/>
        <w:numPr>
          <w:ilvl w:val="0"/>
          <w:numId w:val="2"/>
        </w:numPr>
        <w:spacing w:after="178"/>
        <w:ind w:left="426"/>
        <w:jc w:val="both"/>
        <w:rPr>
          <w:rFonts w:asciiTheme="minorHAnsi" w:hAnsiTheme="minorHAnsi"/>
          <w:b/>
          <w:color w:val="auto"/>
        </w:rPr>
      </w:pPr>
      <w:r w:rsidRPr="00AF6843">
        <w:rPr>
          <w:rFonts w:asciiTheme="minorHAnsi" w:hAnsiTheme="minorHAnsi"/>
          <w:color w:val="000000" w:themeColor="text1"/>
        </w:rPr>
        <w:lastRenderedPageBreak/>
        <w:t xml:space="preserve">Część </w:t>
      </w:r>
      <w:r w:rsidRPr="00200356">
        <w:rPr>
          <w:rFonts w:asciiTheme="minorHAnsi" w:hAnsiTheme="minorHAnsi"/>
          <w:b/>
          <w:color w:val="000000" w:themeColor="text1"/>
        </w:rPr>
        <w:t>I</w:t>
      </w:r>
      <w:r>
        <w:rPr>
          <w:rFonts w:asciiTheme="minorHAnsi" w:hAnsiTheme="minorHAnsi"/>
          <w:b/>
          <w:color w:val="000000" w:themeColor="text1"/>
        </w:rPr>
        <w:t>I</w:t>
      </w:r>
      <w:r w:rsidRPr="00200356">
        <w:rPr>
          <w:rFonts w:asciiTheme="minorHAnsi" w:hAnsiTheme="minorHAnsi"/>
          <w:b/>
          <w:color w:val="000000" w:themeColor="text1"/>
        </w:rPr>
        <w:t xml:space="preserve"> Zamówienia</w:t>
      </w:r>
      <w:r w:rsidRPr="00AF6843">
        <w:rPr>
          <w:rFonts w:asciiTheme="minorHAnsi" w:hAnsiTheme="minorHAnsi"/>
          <w:color w:val="000000" w:themeColor="text1"/>
        </w:rPr>
        <w:t xml:space="preserve"> </w:t>
      </w:r>
      <w:r w:rsidRPr="00AF6843">
        <w:rPr>
          <w:rFonts w:asciiTheme="minorHAnsi" w:hAnsiTheme="minorHAnsi"/>
          <w:color w:val="auto"/>
        </w:rPr>
        <w:t>obejmuje świadczenie przez Wykonawcę usługi</w:t>
      </w:r>
      <w:r>
        <w:rPr>
          <w:rFonts w:asciiTheme="minorHAnsi" w:hAnsiTheme="minorHAnsi"/>
          <w:color w:val="auto"/>
        </w:rPr>
        <w:t xml:space="preserve"> </w:t>
      </w:r>
      <w:r w:rsidRPr="00E54D11">
        <w:rPr>
          <w:rFonts w:asciiTheme="minorHAnsi" w:hAnsiTheme="minorHAnsi"/>
          <w:color w:val="auto"/>
        </w:rPr>
        <w:t xml:space="preserve">wdrożenia </w:t>
      </w:r>
      <w:r>
        <w:rPr>
          <w:rFonts w:asciiTheme="minorHAnsi" w:hAnsiTheme="minorHAnsi"/>
          <w:color w:val="auto"/>
        </w:rPr>
        <w:br/>
      </w:r>
      <w:r w:rsidRPr="00E54D11">
        <w:rPr>
          <w:rFonts w:asciiTheme="minorHAnsi" w:hAnsiTheme="minorHAnsi"/>
          <w:color w:val="auto"/>
        </w:rPr>
        <w:t xml:space="preserve">i zarządzania Instrumentem Finansowym - Fundusz Pożyczkowy, </w:t>
      </w:r>
      <w:r>
        <w:rPr>
          <w:rFonts w:asciiTheme="minorHAnsi" w:hAnsiTheme="minorHAnsi"/>
          <w:color w:val="auto"/>
        </w:rPr>
        <w:t xml:space="preserve">z </w:t>
      </w:r>
      <w:r w:rsidRPr="00B641DD">
        <w:rPr>
          <w:rFonts w:asciiTheme="minorHAnsi" w:hAnsiTheme="minorHAnsi"/>
          <w:color w:val="auto"/>
        </w:rPr>
        <w:t xml:space="preserve">którego udzielane będą Pożyczki </w:t>
      </w:r>
      <w:r>
        <w:rPr>
          <w:rFonts w:asciiTheme="minorHAnsi" w:hAnsiTheme="minorHAnsi"/>
          <w:color w:val="auto"/>
        </w:rPr>
        <w:t>o parametrach</w:t>
      </w:r>
      <w:r w:rsidRPr="00B641DD">
        <w:rPr>
          <w:rFonts w:asciiTheme="minorHAnsi" w:hAnsiTheme="minorHAnsi"/>
          <w:color w:val="auto"/>
        </w:rPr>
        <w:t xml:space="preserve"> </w:t>
      </w:r>
      <w:r>
        <w:rPr>
          <w:rFonts w:asciiTheme="minorHAnsi" w:hAnsiTheme="minorHAnsi"/>
          <w:color w:val="auto"/>
        </w:rPr>
        <w:t>określonych</w:t>
      </w:r>
      <w:r w:rsidRPr="00B641DD">
        <w:rPr>
          <w:rFonts w:asciiTheme="minorHAnsi" w:hAnsiTheme="minorHAnsi"/>
          <w:color w:val="auto"/>
        </w:rPr>
        <w:t xml:space="preserve"> w „Metryce Produktu Finansowego - Pożyczka </w:t>
      </w:r>
      <w:r>
        <w:rPr>
          <w:rFonts w:asciiTheme="minorHAnsi" w:hAnsiTheme="minorHAnsi"/>
          <w:color w:val="auto"/>
        </w:rPr>
        <w:t>obrotowa i Pożyczka inwestycyjna</w:t>
      </w:r>
      <w:r w:rsidRPr="00B641DD">
        <w:rPr>
          <w:rFonts w:asciiTheme="minorHAnsi" w:hAnsiTheme="minorHAnsi"/>
          <w:color w:val="auto"/>
        </w:rPr>
        <w:t xml:space="preserve">” stanowiącej załącznik nr </w:t>
      </w:r>
      <w:r>
        <w:rPr>
          <w:rFonts w:asciiTheme="minorHAnsi" w:hAnsiTheme="minorHAnsi"/>
          <w:color w:val="auto"/>
        </w:rPr>
        <w:t>2</w:t>
      </w:r>
      <w:r w:rsidRPr="00B641DD">
        <w:rPr>
          <w:rFonts w:asciiTheme="minorHAnsi" w:hAnsiTheme="minorHAnsi"/>
          <w:color w:val="auto"/>
        </w:rPr>
        <w:t xml:space="preserve"> do  </w:t>
      </w:r>
      <w:r w:rsidRPr="00F36F43">
        <w:rPr>
          <w:rFonts w:asciiTheme="minorHAnsi" w:hAnsiTheme="minorHAnsi"/>
          <w:color w:val="auto"/>
        </w:rPr>
        <w:t>„IPUO</w:t>
      </w:r>
      <w:r>
        <w:rPr>
          <w:color w:val="auto"/>
        </w:rPr>
        <w:t xml:space="preserve">”, w łącznej wysokości </w:t>
      </w:r>
      <w:r w:rsidRPr="00200356">
        <w:rPr>
          <w:b/>
          <w:color w:val="auto"/>
        </w:rPr>
        <w:t>10 000 000 zł.</w:t>
      </w:r>
    </w:p>
    <w:p w:rsidR="0056130D" w:rsidRDefault="00BF797B" w:rsidP="0056130D">
      <w:pPr>
        <w:pStyle w:val="Default"/>
        <w:numPr>
          <w:ilvl w:val="0"/>
          <w:numId w:val="2"/>
        </w:numPr>
        <w:ind w:left="426"/>
        <w:jc w:val="both"/>
        <w:rPr>
          <w:rFonts w:asciiTheme="minorHAnsi" w:hAnsiTheme="minorHAnsi"/>
          <w:color w:val="auto"/>
        </w:rPr>
      </w:pPr>
      <w:r w:rsidRPr="00E54D11">
        <w:rPr>
          <w:rFonts w:asciiTheme="minorHAnsi" w:hAnsiTheme="minorHAnsi"/>
          <w:color w:val="auto"/>
        </w:rPr>
        <w:t xml:space="preserve">Zamawiający w ramach zamówienia przewiduje możliwość zastosowania </w:t>
      </w:r>
      <w:r w:rsidRPr="00E54D11">
        <w:rPr>
          <w:rFonts w:asciiTheme="minorHAnsi" w:hAnsiTheme="minorHAnsi"/>
          <w:b/>
          <w:bCs/>
          <w:color w:val="auto"/>
        </w:rPr>
        <w:t xml:space="preserve">Prawa Opcji </w:t>
      </w:r>
      <w:r w:rsidRPr="00E54D11">
        <w:rPr>
          <w:rFonts w:asciiTheme="minorHAnsi" w:hAnsiTheme="minorHAnsi"/>
          <w:color w:val="auto"/>
        </w:rPr>
        <w:t xml:space="preserve">na </w:t>
      </w:r>
      <w:r>
        <w:rPr>
          <w:rFonts w:asciiTheme="minorHAnsi" w:hAnsiTheme="minorHAnsi"/>
          <w:color w:val="auto"/>
        </w:rPr>
        <w:t xml:space="preserve">każdą część zamówienia oddzielnie na </w:t>
      </w:r>
      <w:r w:rsidRPr="00E54D11">
        <w:rPr>
          <w:rFonts w:asciiTheme="minorHAnsi" w:hAnsiTheme="minorHAnsi"/>
          <w:color w:val="auto"/>
        </w:rPr>
        <w:t>zasadach określonych w Umowie Operacyjnej.</w:t>
      </w:r>
      <w:r>
        <w:rPr>
          <w:rFonts w:asciiTheme="minorHAnsi" w:hAnsiTheme="minorHAnsi"/>
          <w:color w:val="auto"/>
        </w:rPr>
        <w:t xml:space="preserve"> </w:t>
      </w:r>
      <w:r w:rsidRPr="00FB74CF">
        <w:rPr>
          <w:rFonts w:asciiTheme="minorHAnsi" w:hAnsiTheme="minorHAnsi"/>
          <w:color w:val="auto"/>
        </w:rPr>
        <w:t>Wysokość środków udostępnianych Wykonawcy w ramach Prawa Opcji wynosi do 100% wysokości pierwotnego wkładu w Instrument Finansowy odrębnie dla każdej z części zamówienia. Pożyczki udzielane przez Wykonawcę ze środków udostępnionych na podstawie Prawa Opcji dla I części zamówienia będą udzielane w oparciu o zasady i warunki udzielania</w:t>
      </w:r>
      <w:r>
        <w:rPr>
          <w:rFonts w:asciiTheme="minorHAnsi" w:hAnsiTheme="minorHAnsi"/>
          <w:color w:val="auto"/>
        </w:rPr>
        <w:t>,</w:t>
      </w:r>
      <w:r w:rsidRPr="00FB74CF">
        <w:rPr>
          <w:rFonts w:asciiTheme="minorHAnsi" w:hAnsiTheme="minorHAnsi"/>
          <w:color w:val="auto"/>
        </w:rPr>
        <w:t xml:space="preserve"> które będą </w:t>
      </w:r>
      <w:r>
        <w:t>określone w przetargach, do których Wykonawca będzie wnosił obowiązkowy Wkład Własny, pochodzący ze środków przekazanych przez Zamawiającego.</w:t>
      </w:r>
      <w:r>
        <w:rPr>
          <w:rFonts w:asciiTheme="minorHAnsi" w:hAnsiTheme="minorHAnsi"/>
          <w:color w:val="auto"/>
        </w:rPr>
        <w:t xml:space="preserve"> </w:t>
      </w:r>
      <w:r w:rsidRPr="00FB74CF">
        <w:rPr>
          <w:rFonts w:asciiTheme="minorHAnsi" w:hAnsiTheme="minorHAnsi"/>
          <w:color w:val="auto"/>
        </w:rPr>
        <w:t xml:space="preserve">Pożyczki udzielane przez Wykonawcę ze środków udostępnionych na podstawie Prawa Opcji dla II części zamówienia będą udzielane w oparciu o zasady stosowane do zamówienia podstawowego. </w:t>
      </w:r>
      <w:r w:rsidRPr="00E54D11">
        <w:rPr>
          <w:rFonts w:asciiTheme="minorHAnsi" w:hAnsiTheme="minorHAnsi"/>
          <w:color w:val="auto"/>
        </w:rPr>
        <w:t xml:space="preserve"> </w:t>
      </w:r>
      <w:bookmarkStart w:id="4" w:name="_Hlk490724239"/>
    </w:p>
    <w:p w:rsidR="0056130D" w:rsidRPr="0056130D" w:rsidRDefault="0056130D" w:rsidP="0056130D">
      <w:pPr>
        <w:pStyle w:val="Default"/>
        <w:numPr>
          <w:ilvl w:val="0"/>
          <w:numId w:val="2"/>
        </w:numPr>
        <w:ind w:left="426"/>
        <w:jc w:val="both"/>
        <w:rPr>
          <w:rFonts w:asciiTheme="minorHAnsi" w:hAnsiTheme="minorHAnsi"/>
          <w:color w:val="auto"/>
        </w:rPr>
      </w:pPr>
      <w:r w:rsidRPr="0056130D">
        <w:rPr>
          <w:rFonts w:asciiTheme="minorHAnsi" w:hAnsiTheme="minorHAnsi"/>
          <w:color w:val="auto"/>
        </w:rPr>
        <w:t xml:space="preserve">Przy realizacji zamówienia Wykonawca: </w:t>
      </w:r>
    </w:p>
    <w:p w:rsidR="0056130D" w:rsidRPr="00E54D11" w:rsidRDefault="0056130D" w:rsidP="0056130D">
      <w:pPr>
        <w:pStyle w:val="Default"/>
        <w:numPr>
          <w:ilvl w:val="1"/>
          <w:numId w:val="3"/>
        </w:numPr>
        <w:spacing w:after="178"/>
        <w:ind w:left="851" w:hanging="284"/>
        <w:jc w:val="both"/>
        <w:rPr>
          <w:rFonts w:asciiTheme="minorHAnsi" w:hAnsiTheme="minorHAnsi"/>
          <w:color w:val="auto"/>
        </w:rPr>
      </w:pPr>
      <w:r w:rsidRPr="00E54D11">
        <w:rPr>
          <w:rFonts w:asciiTheme="minorHAnsi" w:hAnsiTheme="minorHAnsi"/>
          <w:color w:val="auto"/>
        </w:rPr>
        <w:t>będzie dokonywał identyfikacji i oceny Odbiorców</w:t>
      </w:r>
      <w:r>
        <w:rPr>
          <w:rFonts w:asciiTheme="minorHAnsi" w:hAnsiTheme="minorHAnsi"/>
          <w:color w:val="auto"/>
        </w:rPr>
        <w:t xml:space="preserve"> Wsparcia</w:t>
      </w:r>
      <w:r w:rsidRPr="00E54D11">
        <w:rPr>
          <w:rFonts w:asciiTheme="minorHAnsi" w:hAnsiTheme="minorHAnsi"/>
          <w:color w:val="auto"/>
        </w:rPr>
        <w:t xml:space="preserve"> w oparciu </w:t>
      </w:r>
      <w:r w:rsidRPr="00E54D11">
        <w:rPr>
          <w:rFonts w:asciiTheme="minorHAnsi" w:hAnsiTheme="minorHAnsi"/>
          <w:color w:val="auto"/>
        </w:rPr>
        <w:br/>
        <w:t>o metodykę:</w:t>
      </w:r>
    </w:p>
    <w:p w:rsidR="0056130D" w:rsidRPr="00E54D11" w:rsidRDefault="0056130D" w:rsidP="0056130D">
      <w:pPr>
        <w:pStyle w:val="Default"/>
        <w:numPr>
          <w:ilvl w:val="1"/>
          <w:numId w:val="5"/>
        </w:numPr>
        <w:spacing w:after="178"/>
        <w:jc w:val="both"/>
        <w:rPr>
          <w:rFonts w:asciiTheme="minorHAnsi" w:hAnsiTheme="minorHAnsi"/>
          <w:color w:val="auto"/>
        </w:rPr>
      </w:pPr>
      <w:r w:rsidRPr="00E54D11">
        <w:rPr>
          <w:rFonts w:asciiTheme="minorHAnsi" w:hAnsiTheme="minorHAnsi"/>
          <w:color w:val="auto"/>
        </w:rPr>
        <w:t>zawierającą najważniejsze etapy oceny i podejmowania decyzji w sprawie przyznania/odmowy przyznania Pożyczki (np. ocena formalno-prawna złożonych dokumentów, weryfikacja kryteriów wykluczających, np. pod kątem branży, ocena założeń biznes planu, ocena sprawozdań finansowych, ocena zabezpieczeń itp.)</w:t>
      </w:r>
    </w:p>
    <w:p w:rsidR="0056130D" w:rsidRPr="00E54D11" w:rsidRDefault="0056130D" w:rsidP="0056130D">
      <w:pPr>
        <w:pStyle w:val="Default"/>
        <w:numPr>
          <w:ilvl w:val="1"/>
          <w:numId w:val="5"/>
        </w:numPr>
        <w:spacing w:after="178"/>
        <w:jc w:val="both"/>
        <w:rPr>
          <w:rFonts w:asciiTheme="minorHAnsi" w:hAnsiTheme="minorHAnsi"/>
          <w:color w:val="auto"/>
        </w:rPr>
      </w:pPr>
      <w:r w:rsidRPr="00E54D11">
        <w:rPr>
          <w:rFonts w:asciiTheme="minorHAnsi" w:hAnsiTheme="minorHAnsi"/>
          <w:color w:val="auto"/>
        </w:rPr>
        <w:t>pozwalającą na przypisanie Odbiorców</w:t>
      </w:r>
      <w:r>
        <w:rPr>
          <w:rFonts w:asciiTheme="minorHAnsi" w:hAnsiTheme="minorHAnsi"/>
          <w:color w:val="auto"/>
        </w:rPr>
        <w:t xml:space="preserve"> Wsparcia</w:t>
      </w:r>
      <w:r w:rsidRPr="00E54D11">
        <w:rPr>
          <w:rFonts w:asciiTheme="minorHAnsi" w:hAnsiTheme="minorHAnsi"/>
          <w:color w:val="auto"/>
        </w:rPr>
        <w:t xml:space="preserve"> do odpowiedniego poziomu ryzyka /ratingu przedsiębiorców i stosowanego poziomu zabezpieczeń,</w:t>
      </w:r>
    </w:p>
    <w:p w:rsidR="0056130D" w:rsidRPr="00E54D11" w:rsidRDefault="0056130D" w:rsidP="0056130D">
      <w:pPr>
        <w:pStyle w:val="Default"/>
        <w:numPr>
          <w:ilvl w:val="1"/>
          <w:numId w:val="5"/>
        </w:numPr>
        <w:spacing w:after="178"/>
        <w:jc w:val="both"/>
        <w:rPr>
          <w:rFonts w:asciiTheme="minorHAnsi" w:hAnsiTheme="minorHAnsi"/>
          <w:color w:val="auto"/>
        </w:rPr>
      </w:pPr>
      <w:r w:rsidRPr="00E54D11">
        <w:rPr>
          <w:rFonts w:asciiTheme="minorHAnsi" w:hAnsiTheme="minorHAnsi"/>
          <w:color w:val="auto"/>
        </w:rPr>
        <w:t>zapewniającą rozdzielność funkcji związanych z pozyskiwaniem Odbiorców</w:t>
      </w:r>
      <w:r>
        <w:rPr>
          <w:rFonts w:asciiTheme="minorHAnsi" w:hAnsiTheme="minorHAnsi"/>
          <w:color w:val="auto"/>
        </w:rPr>
        <w:t xml:space="preserve"> Wsparcia</w:t>
      </w:r>
      <w:r w:rsidRPr="00E54D11">
        <w:rPr>
          <w:rFonts w:asciiTheme="minorHAnsi" w:hAnsiTheme="minorHAnsi"/>
          <w:color w:val="auto"/>
        </w:rPr>
        <w:t xml:space="preserve"> od funkcji związanych z oceną ryzyka i podejmowania decyzji finansowych,</w:t>
      </w:r>
    </w:p>
    <w:p w:rsidR="0056130D" w:rsidRPr="00E54D11" w:rsidRDefault="0056130D" w:rsidP="0056130D">
      <w:pPr>
        <w:pStyle w:val="Default"/>
        <w:numPr>
          <w:ilvl w:val="1"/>
          <w:numId w:val="5"/>
        </w:numPr>
        <w:spacing w:after="178"/>
        <w:jc w:val="both"/>
        <w:rPr>
          <w:rFonts w:asciiTheme="minorHAnsi" w:hAnsiTheme="minorHAnsi"/>
          <w:color w:val="auto"/>
        </w:rPr>
      </w:pPr>
      <w:r w:rsidRPr="00E54D11">
        <w:rPr>
          <w:rFonts w:asciiTheme="minorHAnsi" w:hAnsiTheme="minorHAnsi"/>
          <w:color w:val="auto"/>
        </w:rPr>
        <w:t>uwzględniającą wszystkie zasady i kryteria oceny Odbiorców</w:t>
      </w:r>
      <w:r>
        <w:rPr>
          <w:rFonts w:asciiTheme="minorHAnsi" w:hAnsiTheme="minorHAnsi"/>
          <w:color w:val="auto"/>
        </w:rPr>
        <w:t xml:space="preserve"> Wsparcia</w:t>
      </w:r>
      <w:r w:rsidRPr="00E54D11">
        <w:rPr>
          <w:rFonts w:asciiTheme="minorHAnsi" w:hAnsiTheme="minorHAnsi"/>
          <w:color w:val="auto"/>
        </w:rPr>
        <w:t xml:space="preserve"> pod kątem zgodności</w:t>
      </w:r>
      <w:r>
        <w:rPr>
          <w:rFonts w:asciiTheme="minorHAnsi" w:hAnsiTheme="minorHAnsi"/>
          <w:color w:val="auto"/>
        </w:rPr>
        <w:t xml:space="preserve"> z </w:t>
      </w:r>
      <w:bookmarkStart w:id="5" w:name="_Hlk495496635"/>
      <w:r>
        <w:rPr>
          <w:rFonts w:asciiTheme="minorHAnsi" w:hAnsiTheme="minorHAnsi"/>
          <w:color w:val="auto"/>
        </w:rPr>
        <w:t>Metryką</w:t>
      </w:r>
      <w:r w:rsidRPr="00B641DD">
        <w:rPr>
          <w:rFonts w:asciiTheme="minorHAnsi" w:hAnsiTheme="minorHAnsi"/>
          <w:color w:val="auto"/>
        </w:rPr>
        <w:t xml:space="preserve"> Produktu Finansowego - Pożyczka </w:t>
      </w:r>
      <w:r>
        <w:rPr>
          <w:rFonts w:asciiTheme="minorHAnsi" w:hAnsiTheme="minorHAnsi"/>
          <w:color w:val="auto"/>
        </w:rPr>
        <w:t>obrotowa i Pożyczka inwestycyjna oraz zgodności z zasadami i warunkami udzielania pożyczek,  które</w:t>
      </w:r>
      <w:r w:rsidRPr="00B641DD">
        <w:rPr>
          <w:rFonts w:asciiTheme="minorHAnsi" w:hAnsiTheme="minorHAnsi"/>
          <w:color w:val="auto"/>
        </w:rPr>
        <w:t xml:space="preserve"> </w:t>
      </w:r>
      <w:r>
        <w:rPr>
          <w:rFonts w:asciiTheme="minorHAnsi" w:hAnsiTheme="minorHAnsi"/>
          <w:color w:val="auto"/>
        </w:rPr>
        <w:t xml:space="preserve">będą </w:t>
      </w:r>
      <w:r>
        <w:t>określone w przetargach, do których Wykonawca będzie wnosił obowiązkowy Wkład Własny, pochodzący ze środków przekazanych przez Zamawiającego.</w:t>
      </w:r>
    </w:p>
    <w:bookmarkEnd w:id="5"/>
    <w:p w:rsidR="0056130D" w:rsidRPr="00E54D11" w:rsidRDefault="0056130D" w:rsidP="0056130D">
      <w:pPr>
        <w:pStyle w:val="Default"/>
        <w:numPr>
          <w:ilvl w:val="1"/>
          <w:numId w:val="5"/>
        </w:numPr>
        <w:spacing w:after="178"/>
        <w:jc w:val="both"/>
        <w:rPr>
          <w:rFonts w:asciiTheme="minorHAnsi" w:hAnsiTheme="minorHAnsi"/>
          <w:color w:val="auto"/>
        </w:rPr>
      </w:pPr>
      <w:r w:rsidRPr="00E54D11">
        <w:rPr>
          <w:rFonts w:asciiTheme="minorHAnsi" w:hAnsiTheme="minorHAnsi"/>
          <w:color w:val="auto"/>
        </w:rPr>
        <w:t xml:space="preserve">zapewniającą weryfikację wiarygodności przedstawionej dokumentacji </w:t>
      </w:r>
      <w:r w:rsidRPr="00E54D11">
        <w:rPr>
          <w:rFonts w:asciiTheme="minorHAnsi" w:hAnsiTheme="minorHAnsi"/>
          <w:color w:val="auto"/>
        </w:rPr>
        <w:br/>
        <w:t>do oceny wniosku pożyczkowego (np. poprzez sprawdzenie w bazach zewnętrznych),</w:t>
      </w:r>
    </w:p>
    <w:p w:rsidR="0056130D" w:rsidRPr="00E54D11" w:rsidRDefault="0056130D" w:rsidP="0056130D">
      <w:pPr>
        <w:pStyle w:val="Default"/>
        <w:numPr>
          <w:ilvl w:val="1"/>
          <w:numId w:val="5"/>
        </w:numPr>
        <w:spacing w:after="178"/>
        <w:jc w:val="both"/>
      </w:pPr>
      <w:r w:rsidRPr="00E54D11">
        <w:rPr>
          <w:rFonts w:asciiTheme="minorHAnsi" w:hAnsiTheme="minorHAnsi"/>
          <w:color w:val="auto"/>
        </w:rPr>
        <w:t>określającą zasady i kryteria wyceny zabezpieczenia pożyczki,</w:t>
      </w:r>
    </w:p>
    <w:p w:rsidR="0056130D" w:rsidRPr="00E54D11" w:rsidRDefault="0056130D" w:rsidP="0056130D">
      <w:pPr>
        <w:pStyle w:val="Default"/>
        <w:numPr>
          <w:ilvl w:val="1"/>
          <w:numId w:val="5"/>
        </w:numPr>
        <w:spacing w:after="178"/>
        <w:jc w:val="both"/>
        <w:rPr>
          <w:rFonts w:asciiTheme="minorHAnsi" w:hAnsiTheme="minorHAnsi"/>
          <w:color w:val="auto"/>
        </w:rPr>
      </w:pPr>
      <w:r w:rsidRPr="00E54D11">
        <w:t xml:space="preserve">zapewni, </w:t>
      </w:r>
      <w:r w:rsidRPr="00537245">
        <w:rPr>
          <w:rFonts w:asciiTheme="minorHAnsi" w:hAnsiTheme="minorHAnsi"/>
          <w:color w:val="auto"/>
        </w:rPr>
        <w:t xml:space="preserve">że zasady i warunki stosowane do wsparcia na rzecz Odbiorców Wsparcia, w tym polityka cenowa będą zgodne z Umową Operacyjną oraz </w:t>
      </w:r>
      <w:r>
        <w:rPr>
          <w:rFonts w:asciiTheme="minorHAnsi" w:hAnsiTheme="minorHAnsi"/>
          <w:color w:val="auto"/>
        </w:rPr>
        <w:t>Metryką</w:t>
      </w:r>
      <w:r w:rsidRPr="00B641DD">
        <w:rPr>
          <w:rFonts w:asciiTheme="minorHAnsi" w:hAnsiTheme="minorHAnsi"/>
          <w:color w:val="auto"/>
        </w:rPr>
        <w:t xml:space="preserve"> Produktu Finansowego - Pożyczka </w:t>
      </w:r>
      <w:r>
        <w:rPr>
          <w:rFonts w:asciiTheme="minorHAnsi" w:hAnsiTheme="minorHAnsi"/>
          <w:color w:val="auto"/>
        </w:rPr>
        <w:t xml:space="preserve">obrotowa i Pożyczka inwestycyjna </w:t>
      </w:r>
      <w:r>
        <w:rPr>
          <w:rFonts w:asciiTheme="minorHAnsi" w:hAnsiTheme="minorHAnsi"/>
          <w:color w:val="auto"/>
        </w:rPr>
        <w:lastRenderedPageBreak/>
        <w:t>oraz zgodne z zasadami i warunkami udzielania pożyczek,  które</w:t>
      </w:r>
      <w:r w:rsidRPr="00B641DD">
        <w:rPr>
          <w:rFonts w:asciiTheme="minorHAnsi" w:hAnsiTheme="minorHAnsi"/>
          <w:color w:val="auto"/>
        </w:rPr>
        <w:t xml:space="preserve"> </w:t>
      </w:r>
      <w:r>
        <w:rPr>
          <w:rFonts w:asciiTheme="minorHAnsi" w:hAnsiTheme="minorHAnsi"/>
          <w:color w:val="auto"/>
        </w:rPr>
        <w:t xml:space="preserve">będą </w:t>
      </w:r>
      <w:r>
        <w:t>określone w przetargach, do których Wykonawca będzie wnosił obowiązkowy Wkład Własny, pochodzący ze środków przekazanych przez Zamawiającego.</w:t>
      </w:r>
    </w:p>
    <w:p w:rsidR="0056130D" w:rsidRPr="00537245" w:rsidRDefault="0056130D" w:rsidP="0056130D">
      <w:pPr>
        <w:pStyle w:val="Default"/>
        <w:numPr>
          <w:ilvl w:val="1"/>
          <w:numId w:val="3"/>
        </w:numPr>
        <w:spacing w:after="178"/>
        <w:ind w:left="851" w:hanging="284"/>
        <w:jc w:val="both"/>
        <w:rPr>
          <w:rFonts w:asciiTheme="minorHAnsi" w:hAnsiTheme="minorHAnsi"/>
          <w:color w:val="auto"/>
        </w:rPr>
      </w:pPr>
      <w:r w:rsidRPr="00537245">
        <w:rPr>
          <w:rFonts w:asciiTheme="minorHAnsi" w:hAnsiTheme="minorHAnsi"/>
          <w:color w:val="auto"/>
        </w:rPr>
        <w:t>zapewni zgodność interesów oraz zmniejszenie możliwego konfliktu interesów, będzie stosował zasadę proporcjonalnego podziału zysku i ryzyka pomiędzy środkami wkładu z programu, a środkami krajowego wkładu publicznego co zapewni zmniejszenie możliwego konfliktu interesów,</w:t>
      </w:r>
    </w:p>
    <w:p w:rsidR="0056130D" w:rsidRPr="00E54D11" w:rsidRDefault="0056130D" w:rsidP="0056130D">
      <w:pPr>
        <w:pStyle w:val="Default"/>
        <w:numPr>
          <w:ilvl w:val="1"/>
          <w:numId w:val="3"/>
        </w:numPr>
        <w:spacing w:after="178"/>
        <w:ind w:left="851" w:hanging="284"/>
        <w:jc w:val="both"/>
        <w:rPr>
          <w:rFonts w:asciiTheme="minorHAnsi" w:hAnsiTheme="minorHAnsi"/>
          <w:color w:val="auto"/>
        </w:rPr>
      </w:pPr>
      <w:r w:rsidRPr="00E54D11">
        <w:rPr>
          <w:rFonts w:asciiTheme="minorHAnsi" w:hAnsiTheme="minorHAnsi"/>
          <w:color w:val="auto"/>
        </w:rPr>
        <w:t xml:space="preserve">zapewni, iż realizacja Zamówienia będzie stanowiła dodatkową działalność </w:t>
      </w:r>
      <w:r w:rsidRPr="00E54D11">
        <w:rPr>
          <w:rFonts w:asciiTheme="minorHAnsi" w:hAnsiTheme="minorHAnsi"/>
          <w:color w:val="auto"/>
        </w:rPr>
        <w:br/>
        <w:t>w porównaniu z obecną działalnością Wykonawcy i nie zastąpi jego dotychczasowej działalności, co oznacza, iż działalność pożyczkowa związana z realizacją Zamówienia nie zastąpi dotychczasowej działalności Wykonawcy w zakresie udzielania pożyczek dla Ostatecznych Odbiorców.</w:t>
      </w:r>
    </w:p>
    <w:p w:rsidR="00BF797B" w:rsidRPr="0056130D" w:rsidRDefault="0056130D" w:rsidP="0056130D">
      <w:pPr>
        <w:pStyle w:val="Default"/>
        <w:numPr>
          <w:ilvl w:val="0"/>
          <w:numId w:val="2"/>
        </w:numPr>
        <w:spacing w:after="178"/>
        <w:ind w:left="284"/>
        <w:jc w:val="both"/>
        <w:rPr>
          <w:rFonts w:asciiTheme="minorHAnsi" w:hAnsiTheme="minorHAnsi"/>
          <w:color w:val="auto"/>
        </w:rPr>
      </w:pPr>
      <w:r w:rsidRPr="00E54D11">
        <w:rPr>
          <w:rFonts w:asciiTheme="minorHAnsi" w:hAnsiTheme="minorHAnsi"/>
          <w:color w:val="auto"/>
        </w:rPr>
        <w:t>Przy realizacji Zamówienia czynności związane z analizą wniosków o udzielenie Pożyczki, rozliczeniem i kontrolą P</w:t>
      </w:r>
      <w:bookmarkStart w:id="6" w:name="_GoBack"/>
      <w:bookmarkEnd w:id="6"/>
      <w:r w:rsidRPr="00E54D11">
        <w:rPr>
          <w:rFonts w:asciiTheme="minorHAnsi" w:hAnsiTheme="minorHAnsi"/>
          <w:color w:val="auto"/>
        </w:rPr>
        <w:t xml:space="preserve">ożyczki, monitorowaniem i windykacją spłat Pożyczki, sporządzeniem sprawozdań z realizacji Zamówienia, będą wykonywane poprzez osoby zatrudnione w oparciu o umowę o pracę. </w:t>
      </w:r>
      <w:bookmarkEnd w:id="4"/>
    </w:p>
    <w:p w:rsidR="00E238D6" w:rsidRPr="00204D6D" w:rsidRDefault="003D68B0" w:rsidP="0056130D">
      <w:pPr>
        <w:pStyle w:val="Akapitzlist"/>
        <w:numPr>
          <w:ilvl w:val="0"/>
          <w:numId w:val="2"/>
        </w:numPr>
        <w:spacing w:after="120" w:line="240" w:lineRule="auto"/>
        <w:ind w:left="284" w:hanging="357"/>
        <w:contextualSpacing w:val="0"/>
        <w:jc w:val="both"/>
      </w:pPr>
      <w:r>
        <w:rPr>
          <w:color w:val="000000"/>
        </w:rPr>
        <w:t>Kody i nazwy stosowane we Wspólnym Słowniku Zamówień (CPV):</w:t>
      </w:r>
      <w:r>
        <w:rPr>
          <w:color w:val="000000"/>
        </w:rPr>
        <w:br/>
      </w:r>
      <w:r>
        <w:rPr>
          <w:b/>
          <w:bCs/>
          <w:color w:val="000000"/>
        </w:rPr>
        <w:t xml:space="preserve">66000000-0 </w:t>
      </w:r>
      <w:r>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t>Szacunkowa wartość zamówienia</w:t>
      </w:r>
      <w:r w:rsidR="00E35920">
        <w:rPr>
          <w:rFonts w:cs="Times New Roman"/>
          <w:b/>
          <w:color w:val="000000"/>
        </w:rPr>
        <w:t>.</w:t>
      </w:r>
    </w:p>
    <w:p w:rsidR="003D68B0" w:rsidRPr="006F6D67" w:rsidRDefault="00E35920" w:rsidP="009A78CC">
      <w:pPr>
        <w:pStyle w:val="Akapitzlist"/>
        <w:spacing w:after="120"/>
        <w:ind w:left="284"/>
        <w:contextualSpacing w:val="0"/>
        <w:jc w:val="both"/>
        <w:rPr>
          <w:rFonts w:cs="Times New Roman"/>
          <w:color w:val="000000"/>
        </w:rPr>
      </w:pPr>
      <w:r w:rsidRPr="006F6D67">
        <w:rPr>
          <w:rFonts w:cs="Times New Roman"/>
          <w:color w:val="000000"/>
        </w:rPr>
        <w:t>Wartość zamówienia</w:t>
      </w:r>
      <w:r w:rsidR="003D68B0" w:rsidRPr="006F6D67">
        <w:rPr>
          <w:rFonts w:cs="Times New Roman"/>
          <w:color w:val="000000"/>
        </w:rPr>
        <w:t xml:space="preserve"> wraz z Prawem Opcji</w:t>
      </w:r>
      <w:r w:rsidRPr="006F6D67">
        <w:rPr>
          <w:rFonts w:cs="Times New Roman"/>
          <w:color w:val="000000"/>
        </w:rPr>
        <w:t xml:space="preserve"> wynosi</w:t>
      </w:r>
      <w:r w:rsidR="00F65D38" w:rsidRPr="006F6D67">
        <w:rPr>
          <w:rFonts w:cs="Times New Roman"/>
          <w:color w:val="000000"/>
        </w:rPr>
        <w:t xml:space="preserve"> </w:t>
      </w:r>
      <w:r w:rsidR="00BF797B">
        <w:rPr>
          <w:rFonts w:cs="Times New Roman"/>
          <w:color w:val="000000"/>
        </w:rPr>
        <w:t>4 723 801,99</w:t>
      </w:r>
      <w:r w:rsidR="003D68B0" w:rsidRPr="006F6D67">
        <w:rPr>
          <w:rFonts w:cs="Times New Roman"/>
          <w:color w:val="000000"/>
        </w:rPr>
        <w:t xml:space="preserve"> zł.</w:t>
      </w:r>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 xml:space="preserve">Zamówienie udzielane jest na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lastRenderedPageBreak/>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7"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7"/>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 xml:space="preserve">wykonuje funkcje władcze, doradcze, koordynacyjne i kontrolne </w:t>
      </w:r>
      <w:r w:rsidRPr="00EF4FA8">
        <w:rPr>
          <w:color w:val="000000"/>
        </w:rPr>
        <w:lastRenderedPageBreak/>
        <w:t>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t>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r>
      <w:r w:rsidRPr="00635807">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 nr 1303/2013 z dnia 17 grudnia 2013 r. i Rozporządzenia delegowanego Komisji (UE) nr 480/2014 z dnia 3 marca 2014 r.  na podstawie których realizowane będzie przedmiotowe zamówienie, wskazana została możliwość udzielenia zamówienia pomiędzy jednostkami wewnętrznymi.</w:t>
      </w:r>
      <w:r>
        <w:rPr>
          <w:color w:val="000000"/>
        </w:rPr>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E3608E" w:rsidRPr="00431443" w:rsidRDefault="0058725B" w:rsidP="009A78CC">
      <w:pPr>
        <w:pStyle w:val="Default"/>
        <w:ind w:left="426"/>
        <w:jc w:val="both"/>
        <w:rPr>
          <w:rFonts w:asciiTheme="minorHAnsi" w:hAnsiTheme="minorHAnsi"/>
          <w:color w:val="auto"/>
          <w:sz w:val="22"/>
          <w:szCs w:val="22"/>
        </w:rPr>
      </w:pPr>
      <w:r w:rsidRPr="0058725B">
        <w:rPr>
          <w:rFonts w:asciiTheme="minorHAnsi" w:hAnsiTheme="minorHAnsi"/>
          <w:color w:val="auto"/>
          <w:sz w:val="22"/>
          <w:szCs w:val="22"/>
        </w:rPr>
        <w:t>Okres realizacji zamówienia</w:t>
      </w:r>
      <w:r w:rsidR="004760FE">
        <w:rPr>
          <w:rFonts w:asciiTheme="minorHAnsi" w:hAnsiTheme="minorHAnsi"/>
          <w:color w:val="auto"/>
          <w:sz w:val="22"/>
          <w:szCs w:val="22"/>
        </w:rPr>
        <w:t>: od zawarcia umowy do 28.02.2034 r</w:t>
      </w:r>
      <w:r w:rsidRPr="0058725B">
        <w:rPr>
          <w:rFonts w:asciiTheme="minorHAnsi" w:hAnsiTheme="minorHAnsi"/>
          <w:color w:val="auto"/>
          <w:sz w:val="22"/>
          <w:szCs w:val="22"/>
        </w:rPr>
        <w:t>.</w:t>
      </w:r>
    </w:p>
    <w:p w:rsidR="00E3608E" w:rsidRPr="00431443" w:rsidRDefault="00E3608E" w:rsidP="009A78CC">
      <w:pPr>
        <w:pStyle w:val="Default"/>
        <w:jc w:val="both"/>
        <w:rPr>
          <w:rFonts w:asciiTheme="minorHAnsi" w:hAnsiTheme="minorHAnsi"/>
          <w:color w:val="auto"/>
          <w:sz w:val="22"/>
          <w:szCs w:val="22"/>
        </w:rPr>
      </w:pPr>
    </w:p>
    <w:p w:rsidR="00F155C3" w:rsidRPr="00520D53" w:rsidRDefault="00520D53" w:rsidP="00AB359D">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00E30849">
        <w:rPr>
          <w:rFonts w:eastAsia="Times New Roman" w:cs="Times New Roman"/>
          <w:bCs/>
          <w:lang w:eastAsia="pl-PL"/>
        </w:rPr>
        <w:t>przekaże do</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sz w:val="24"/>
          <w:szCs w:val="24"/>
        </w:rPr>
        <w:t xml:space="preserve">. </w:t>
      </w:r>
      <w:r w:rsidR="004562A6" w:rsidRPr="00520D53">
        <w:rPr>
          <w:rFonts w:eastAsia="Times New Roman" w:cs="Times New Roman"/>
          <w:bCs/>
          <w:lang w:eastAsia="pl-PL"/>
        </w:rPr>
        <w:t xml:space="preserve"> </w:t>
      </w:r>
    </w:p>
    <w:p w:rsidR="004775B8" w:rsidRPr="00431443" w:rsidRDefault="004775B8" w:rsidP="009A78CC">
      <w:pPr>
        <w:jc w:val="both"/>
        <w:rPr>
          <w:color w:val="000000"/>
        </w:rPr>
      </w:pPr>
    </w:p>
    <w:p w:rsidR="003D68B0" w:rsidRDefault="004775B8" w:rsidP="009A78CC">
      <w:pPr>
        <w:jc w:val="both"/>
      </w:pPr>
      <w:r>
        <w:t>Beata Kmieć</w:t>
      </w:r>
    </w:p>
    <w:p w:rsidR="004775B8" w:rsidRDefault="004775B8" w:rsidP="009A78CC">
      <w:pPr>
        <w:jc w:val="both"/>
      </w:pPr>
      <w:r>
        <w:t>Przewodnicząca komisji przetargowej</w:t>
      </w:r>
    </w:p>
    <w:sectPr w:rsidR="004775B8"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AB359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FF55"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38" w:rsidRPr="00F65D38" w:rsidRDefault="00F65D38" w:rsidP="00F65D38">
    <w:pPr>
      <w:pStyle w:val="Nagwek"/>
    </w:pPr>
    <w:r w:rsidRPr="000E7F5E">
      <w:rPr>
        <w:noProof/>
        <w:lang w:eastAsia="pl-PL"/>
      </w:rPr>
      <w:drawing>
        <wp:inline distT="0" distB="0" distL="0" distR="0" wp14:anchorId="4A683BE3" wp14:editId="1BCE571F">
          <wp:extent cx="5759450" cy="822779"/>
          <wp:effectExtent l="0" t="0" r="0" b="0"/>
          <wp:docPr id="6" name="Obraz 6" descr="W:\UMOWA o dofin. UM RPO WK-P 20.06.2017r\Europejski Fundusz Rozwoju Regionalnego (wersja polska)\Poziomy\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MOWA o dofin. UM RPO WK-P 20.06.2017r\Europejski Fundusz Rozwoju Regionalnego (wersja polska)\Poziomy\poziom_kolo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1260D3"/>
    <w:rsid w:val="00173911"/>
    <w:rsid w:val="001F492D"/>
    <w:rsid w:val="00204D6D"/>
    <w:rsid w:val="0033297D"/>
    <w:rsid w:val="00382A8F"/>
    <w:rsid w:val="003D68B0"/>
    <w:rsid w:val="00431443"/>
    <w:rsid w:val="004562A6"/>
    <w:rsid w:val="004760FE"/>
    <w:rsid w:val="004775B8"/>
    <w:rsid w:val="00520D53"/>
    <w:rsid w:val="00535402"/>
    <w:rsid w:val="0056130D"/>
    <w:rsid w:val="0058725B"/>
    <w:rsid w:val="005E31BD"/>
    <w:rsid w:val="006D4AAB"/>
    <w:rsid w:val="006F6D67"/>
    <w:rsid w:val="007278D5"/>
    <w:rsid w:val="0080450D"/>
    <w:rsid w:val="00891289"/>
    <w:rsid w:val="008A4F5D"/>
    <w:rsid w:val="008C1749"/>
    <w:rsid w:val="00917AB2"/>
    <w:rsid w:val="009A78CC"/>
    <w:rsid w:val="00A93B3D"/>
    <w:rsid w:val="00AA20A7"/>
    <w:rsid w:val="00AB359D"/>
    <w:rsid w:val="00B450B4"/>
    <w:rsid w:val="00B7148B"/>
    <w:rsid w:val="00BF797B"/>
    <w:rsid w:val="00C25266"/>
    <w:rsid w:val="00C2550F"/>
    <w:rsid w:val="00C274AB"/>
    <w:rsid w:val="00CA2C88"/>
    <w:rsid w:val="00CB374D"/>
    <w:rsid w:val="00CF1252"/>
    <w:rsid w:val="00D613D3"/>
    <w:rsid w:val="00DC6E52"/>
    <w:rsid w:val="00E238D6"/>
    <w:rsid w:val="00E30849"/>
    <w:rsid w:val="00E35920"/>
    <w:rsid w:val="00E3608E"/>
    <w:rsid w:val="00E519BE"/>
    <w:rsid w:val="00EF4FA8"/>
    <w:rsid w:val="00F155C3"/>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6EA"/>
  <w15:chartTrackingRefBased/>
  <w15:docId w15:val="{DBBCD875-9972-4978-AFD3-A9B9BD8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5</Pages>
  <Words>2322</Words>
  <Characters>13933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6</cp:revision>
  <cp:lastPrinted>2017-10-06T10:27:00Z</cp:lastPrinted>
  <dcterms:created xsi:type="dcterms:W3CDTF">2017-10-09T08:59:00Z</dcterms:created>
  <dcterms:modified xsi:type="dcterms:W3CDTF">2017-10-11T13:58:00Z</dcterms:modified>
</cp:coreProperties>
</file>