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06" w:rsidRDefault="00157906" w:rsidP="0015790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1b do SIWZ </w:t>
      </w:r>
    </w:p>
    <w:p w:rsidR="00157906" w:rsidRDefault="00157906" w:rsidP="00157906">
      <w:pPr>
        <w:pStyle w:val="Standard"/>
        <w:jc w:val="right"/>
      </w:pPr>
      <w:r>
        <w:rPr>
          <w:sz w:val="20"/>
          <w:szCs w:val="20"/>
        </w:rPr>
        <w:t>Nr ref. KPFR/SOPF/1/2020</w:t>
      </w:r>
    </w:p>
    <w:p w:rsidR="00157906" w:rsidRDefault="00157906" w:rsidP="00157906">
      <w:pPr>
        <w:pStyle w:val="Standard"/>
        <w:jc w:val="right"/>
      </w:pPr>
    </w:p>
    <w:p w:rsidR="00157906" w:rsidRDefault="00157906" w:rsidP="00157906">
      <w:pPr>
        <w:pStyle w:val="Standard"/>
        <w:jc w:val="both"/>
      </w:pPr>
      <w:r>
        <w:rPr>
          <w:b/>
        </w:rPr>
        <w:t>OPIS PRZEDMIOTU ZAMÓWIENIA: Rozbudowa Systemu SOPF.</w:t>
      </w:r>
    </w:p>
    <w:p w:rsidR="00157906" w:rsidRDefault="00157906" w:rsidP="00157906">
      <w:pPr>
        <w:pStyle w:val="Standard"/>
        <w:jc w:val="both"/>
      </w:pPr>
      <w:r>
        <w:t>System do Obsługi Pośredników Finansowych (SOPF) stanowi platformę sprawozdawczą dla Pośredników Finansowych wybranych przez KPFR sp. z o.o. w Toruniu.</w:t>
      </w:r>
    </w:p>
    <w:p w:rsidR="00157906" w:rsidRDefault="00157906" w:rsidP="00157906">
      <w:pPr>
        <w:pStyle w:val="Standard"/>
        <w:jc w:val="both"/>
      </w:pPr>
      <w:r>
        <w:t>System służy do rozliczania wsparcia udzielonego mikro, małym i średnim przedsiębiorcom przez Pośredników Finansowych w Województwie Kujawsko-Pomorskim. Architektura systemu oparta jest o stos technologiczny Java EE – serwer aplikacyjny, bazę danych i moduł kryptograficzny Szafir.</w:t>
      </w:r>
    </w:p>
    <w:p w:rsidR="00157906" w:rsidRDefault="00157906" w:rsidP="00157906">
      <w:pPr>
        <w:pStyle w:val="Standard"/>
        <w:jc w:val="both"/>
      </w:pPr>
      <w:r>
        <w:t>Obowiązki Wykonawcy, związane z realizacją zamówienia:</w:t>
      </w:r>
    </w:p>
    <w:p w:rsidR="00157906" w:rsidRDefault="00157906" w:rsidP="00157906">
      <w:pPr>
        <w:pStyle w:val="Akapitzlist"/>
        <w:numPr>
          <w:ilvl w:val="0"/>
          <w:numId w:val="1"/>
        </w:numPr>
        <w:jc w:val="both"/>
      </w:pPr>
      <w:r>
        <w:t xml:space="preserve">Wykonawca zobowiązany jest po zawarciu umowy do zaprojektowania, dostawy oraz wdrożenia (instalacji, konfiguracji i uruchomienia) modułów oraz usprawnień do aplikacji SOPF w zakresie wskazanym przez Zamawiającego w punkcie 3 w niniejszym załączniku oraz do gotowości podjęcia prac rozwojowych w łącznym wymiarze 100 roboczogodzin, opisanym w punkcie 4. </w:t>
      </w:r>
    </w:p>
    <w:p w:rsidR="00157906" w:rsidRDefault="00157906" w:rsidP="00157906">
      <w:pPr>
        <w:pStyle w:val="Akapitzlist"/>
        <w:jc w:val="both"/>
      </w:pPr>
      <w:r>
        <w:rPr>
          <w:rFonts w:cs="Calibri"/>
        </w:rPr>
        <w:t>Dla tej części zamówienia Zamawiający przewiduje udzielenie zamówienia podstawowego oraz ewentualnego zamówienia w ramach prawa opcji, na kolejny 12 miesięczny okres, po realizacji zamówienia podstawowego w zakresie 100 dodatkowych roboczogodzin. Wielkość udostępnianych Wykonawcy dodatkowych roboczogodzin w ramach prawa opcji wynosi do 100% wysokości zamówienia podstawowego (maksymalnie może wynosić do wykorzystania 100 dodatkowych roboczogodzin). Wykorzystanie prawa opcji jest uprawnieniem Zamawiającego, z którego może, ale nie musi skorzystać w ramach niniejszego zamówienia. Zamawiający nie ponosi żadnej odpowiedzialności z tytułu nieskierowania takiego żądania do Wykonawcy, a Wykonawcy z tytułu nie skorzystania z prawa opcji przez Zamawiającego nie przysługuje żadne roszczenie.</w:t>
      </w:r>
    </w:p>
    <w:p w:rsidR="00157906" w:rsidRDefault="00157906" w:rsidP="00157906">
      <w:pPr>
        <w:pStyle w:val="Akapitzlist"/>
        <w:numPr>
          <w:ilvl w:val="0"/>
          <w:numId w:val="1"/>
        </w:numPr>
        <w:jc w:val="both"/>
      </w:pPr>
      <w:r>
        <w:t xml:space="preserve">Okres świadczenia usługi – termin realizacji prac zostanie uzgodniony przez Zamawiającego i Wykonawcę po zawarciu umowy, przy czym termin wystawienia wszystkich modułów i funkcjonalności opisanych w pkt 3, na serwer testowy systemu SOPF, nie może przekraczać 4 miesięcy od dnia zawarcia umowy. Dla zakresu prac opisanych w pkt 4 załącznika, termin realizacji zamówienia, tj. wykorzystania 100 roboczogodzin określa się jako 12 miesięcy od momentu zawarcia umowy lub też do jego wyczerpania. Zamawiający zastrzega sobie możliwość nie wykorzystania całości zamówienia w wymiarze 100 roboczogodzin. Wykonawcy nie przysługuje w tym zakresie żadne roszczenie do Zamawiającego. </w:t>
      </w:r>
    </w:p>
    <w:p w:rsidR="00157906" w:rsidRDefault="00157906" w:rsidP="00157906">
      <w:pPr>
        <w:pStyle w:val="Akapitzlist"/>
        <w:jc w:val="both"/>
      </w:pPr>
      <w:r>
        <w:t>W przypadku wykorzystania przez Zamawiającego prawa opcji, Wykonawca będzie zobowiązany do świadczenia usługi w postaci  zaprojektowania, dostawy oraz wdrożenia (instalacji, konfiguracji i uruchomienia) nowych modułów oraz usprawnień (funkcjonalności) do aplikacji SOPF w zakresie wskazanym przez Zamawiającego, w okresie 12 miesięcy po zakończeniu realizacji zamówienia podstawowego.</w:t>
      </w:r>
    </w:p>
    <w:p w:rsidR="00157906" w:rsidRDefault="00157906" w:rsidP="00157906">
      <w:pPr>
        <w:pStyle w:val="Akapitzlist"/>
        <w:numPr>
          <w:ilvl w:val="0"/>
          <w:numId w:val="1"/>
        </w:numPr>
        <w:jc w:val="both"/>
      </w:pPr>
      <w:bookmarkStart w:id="0" w:name="_Hlk507142326"/>
      <w:r>
        <w:t xml:space="preserve">Wykonawca dokona następujących zmian </w:t>
      </w:r>
      <w:bookmarkStart w:id="1" w:name="_Hlk507141908"/>
      <w:bookmarkEnd w:id="0"/>
      <w:r>
        <w:rPr>
          <w:color w:val="000000"/>
        </w:rPr>
        <w:t>związanych z rozwojem/rozbudową programu: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>Zmianę listy ilości wyświetlanych rekordów w okienkach bazodanowych – usunąć liczbę 5 i 35, a zastąpić je dodatkową liczbą 100 – wyświetlenie 100 rekordów naraz oraz pamiętanie ostatniego wyboru (na czas trwania sesji).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 xml:space="preserve">Wprowadzenie walidatora dla wartości pola PESEL – dla osób fizycznych oraz spółek cywilnych program ma wymagać wpisania odpowiednio co najmniej jednego lub </w:t>
      </w:r>
      <w:r>
        <w:rPr>
          <w:color w:val="000000"/>
        </w:rPr>
        <w:lastRenderedPageBreak/>
        <w:t>dwóch numerów PESEL zaś dla pozostałych form (sp. z o.o., jawna, komandytowa) pole PESEL ma nie pojawiać się na ekranie. W sytuacji gdy w bazie przy danym podmiocie ktoś wpisał wcześniej PESEL, to program ma skasować PESEL w bazie danych przy zmianie formy prawnej podmiotu (np. zakładamy osobę fizyczną podając PESEL a potem poprawiamy dany podmiot na spółkę jawną to z bazy ten PESEL ma zniknąć).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 xml:space="preserve">Zmianę sposobu przewijania okien w SOPF, tak aby przyciski PgUp i PgDn przewijały </w:t>
      </w:r>
      <w:r>
        <w:rPr>
          <w:color w:val="000000"/>
        </w:rPr>
        <w:br/>
        <w:t xml:space="preserve">w poszczególnych oknach aplikacji wskazany przez zamawiającego obszar. 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 xml:space="preserve">Dodanie wskaźników zdefiniowanych w systemie SOPF dla produktu pożyczka własna i poręczenie własne w module </w:t>
      </w:r>
      <w:r>
        <w:rPr>
          <w:i/>
          <w:color w:val="000000"/>
        </w:rPr>
        <w:t>Umowy</w:t>
      </w:r>
      <w:r>
        <w:rPr>
          <w:color w:val="000000"/>
        </w:rPr>
        <w:t xml:space="preserve"> oraz module </w:t>
      </w:r>
      <w:r>
        <w:rPr>
          <w:i/>
          <w:color w:val="000000"/>
        </w:rPr>
        <w:t>Sprawozdania</w:t>
      </w:r>
      <w:r>
        <w:rPr>
          <w:color w:val="000000"/>
        </w:rPr>
        <w:t xml:space="preserve"> wraz z możliwością raportowania wskaźników z wykorzystaniem szablonu importu istniejącego w SOPF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 xml:space="preserve">Przebudowanie raportu </w:t>
      </w:r>
      <w:r>
        <w:rPr>
          <w:i/>
          <w:iCs/>
          <w:color w:val="000000"/>
        </w:rPr>
        <w:t>Osiągnięte wartości wskaźników</w:t>
      </w:r>
      <w:r>
        <w:rPr>
          <w:color w:val="000000"/>
        </w:rPr>
        <w:t xml:space="preserve"> z wyodrębnieniem produktów pożyczki, pożyczki in-house, poręczenia i poprawę algorytmu wyliczeń wskaźników przedsiębiorstw wspartych (niepowtarzające się NIPY-y dla produktów z wypłaconymi środkami).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 xml:space="preserve">Zwiększenie ilości pól w raporcie </w:t>
      </w:r>
      <w:r>
        <w:rPr>
          <w:i/>
          <w:iCs/>
          <w:color w:val="000000"/>
        </w:rPr>
        <w:t>Wartości i ilości wspartych MŚP</w:t>
      </w:r>
      <w:r>
        <w:rPr>
          <w:color w:val="000000"/>
        </w:rPr>
        <w:t xml:space="preserve"> o wartości wkładu UE dla kapitału zaangażowanego ogółem i kapitału wypłaconego ogółem dla pól z wartościami ogółem.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>Integracja systemu SOPF z bazami CEIDG (Centralna Ewidencja i Informacja o Działalności Gospodarczej) oraz KRS (Krajowy Rejestr Sądowy) tak aby system SOPF przepisywał (pobierał) dane adresowe i rejestrowe na postawie danych umieszczonych w ww. rejestrach po wpisanym przez użytkownika numerze NIP lub Regon czy KRS. Po zaczytaniu danych ma być możliwość ich edycji (poprawy).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>Generowanie pliku z danymi (w formacie XLS) pochodzącymi z kalkulatora wynagradzania PF z podziałem na umowy operacyjne z poziomu modułu Sprawozdania i z poziomu modułu Umowy – zbiorcze zestawienie umów MŚP z wylistowaniem wartości zmiany salda zadłużenia MŚP oraz wyliczonym odpowiednio wynagrodzeniem z podziałem na wkłady środków UE, wkładu publicznego i PF.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>Zaimplementowanie sprawozdań kwartalnych PF do systemu SOPF do wszystkich rodzajów produktów pożyczkowych i poręczeniowych, które będą zawierać: wzór sprawozdania z umowy z PF, dane dot. wskaźników kopiowane z poprzedniego podpisanego sprawozdania miesięcznego (kończącego kwartał) z możliwością edycji (poprawy) przed podpisaniem sprawozdania, dodatkowe dane o przeterminowanych płatnościach MŚP powyżej 90 dni z numerem umowy i kwotą przeterminowanych płatności (kopiowane z ostatniego sprawozdania miesięcznego kończącego kwartał wraz z możliwością edycji tych danych i usuwania oraz z dodatkowym polem do opisu podjętych działań windykacyjnych. Sprawozdanie kwartalne ma być podłączone modułem podpisu Szafir dla podpisu elektronicznego sprawozdania kwartalnego (analogicznie jak w sprawozdaniach miesięcznych).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 xml:space="preserve">Zmiana systemu zapisywania danych (kwota umowy, dzień zawarcia, adres etc.) dotyczących Inwestycji w MŚP z modułu </w:t>
      </w:r>
      <w:r>
        <w:rPr>
          <w:i/>
          <w:color w:val="000000"/>
        </w:rPr>
        <w:t>Umowy</w:t>
      </w:r>
      <w:r>
        <w:rPr>
          <w:color w:val="000000"/>
        </w:rPr>
        <w:t xml:space="preserve"> do sprawozdań - na przykład poprzez automatyczne otwieranie sprawozdań po zakończonym miesiącu wraz z przebudową pobierania danych wartościowych do sprawozdań i ich korekt.</w:t>
      </w:r>
    </w:p>
    <w:p w:rsidR="00157906" w:rsidRDefault="00157906" w:rsidP="00157906">
      <w:pPr>
        <w:pStyle w:val="Akapitzlist"/>
        <w:numPr>
          <w:ilvl w:val="2"/>
          <w:numId w:val="1"/>
        </w:numPr>
        <w:ind w:left="1418"/>
        <w:jc w:val="both"/>
      </w:pPr>
      <w:r>
        <w:rPr>
          <w:color w:val="000000"/>
        </w:rPr>
        <w:t>W module raporty dodanie możliwości wyboru produktów poprzez wybranie kilku produktów (check lista) wraz z odpowiednim generowaniem danych.</w:t>
      </w:r>
    </w:p>
    <w:p w:rsidR="00157906" w:rsidRDefault="00157906" w:rsidP="00157906">
      <w:pPr>
        <w:pStyle w:val="Standard"/>
        <w:jc w:val="both"/>
      </w:pPr>
      <w:r>
        <w:rPr>
          <w:color w:val="000000"/>
        </w:rPr>
        <w:t xml:space="preserve">              Wykonawca w ramach tej części zamówienia:</w:t>
      </w:r>
    </w:p>
    <w:p w:rsidR="00157906" w:rsidRDefault="00157906" w:rsidP="00157906">
      <w:pPr>
        <w:pStyle w:val="Akapitzlist"/>
        <w:numPr>
          <w:ilvl w:val="0"/>
          <w:numId w:val="2"/>
        </w:numPr>
        <w:ind w:left="1134"/>
        <w:jc w:val="both"/>
      </w:pPr>
      <w:r>
        <w:rPr>
          <w:color w:val="000000"/>
        </w:rPr>
        <w:lastRenderedPageBreak/>
        <w:t>realizuje zamówienie w całości (Zamawiający nie dopuszcza dzielenia zamówienia na mniejsze części, zgodnie z opisanymi funkcjonalnościami w pkt 3) i udostępnia opracowane usprawnienie lub moduł SOPF na serwerze testowym. Po przeprowadzeniu testów przez Zamawiającego i wprowadzeniu ewentualnych uwag zgłoszonych przez Zamawiającego, Wykonawca implementuje opracowane usprawnienie/moduł SOPF na serwerze produkcyjnym (właściwym),</w:t>
      </w:r>
    </w:p>
    <w:p w:rsidR="00157906" w:rsidRDefault="00157906" w:rsidP="00157906">
      <w:pPr>
        <w:pStyle w:val="Akapitzlist"/>
        <w:numPr>
          <w:ilvl w:val="0"/>
          <w:numId w:val="2"/>
        </w:numPr>
        <w:ind w:left="1134"/>
        <w:jc w:val="both"/>
      </w:pPr>
      <w:r>
        <w:rPr>
          <w:color w:val="000000"/>
        </w:rPr>
        <w:t>kontakt oraz pytania i odpowiedzi związane z realizacją niniejszej części zamówienia będzie prowadzona poprzez adresy e-mail pracowników, wskazanych do kontaktu w zawartej umowie,</w:t>
      </w:r>
    </w:p>
    <w:p w:rsidR="00157906" w:rsidRDefault="00157906" w:rsidP="00157906">
      <w:pPr>
        <w:pStyle w:val="Akapitzlist"/>
        <w:numPr>
          <w:ilvl w:val="0"/>
          <w:numId w:val="2"/>
        </w:numPr>
        <w:ind w:left="1134"/>
        <w:jc w:val="both"/>
      </w:pPr>
      <w:r>
        <w:rPr>
          <w:color w:val="000000"/>
        </w:rPr>
        <w:t>odbiór prac będzie potwierdzony stosownym protokołem odbioru, na podstawie którego, po zakończeniu prac, Wykonawca wystawi fakturę VAT.</w:t>
      </w:r>
    </w:p>
    <w:p w:rsidR="00157906" w:rsidRDefault="00157906" w:rsidP="00157906">
      <w:pPr>
        <w:pStyle w:val="Akapitzlist"/>
        <w:numPr>
          <w:ilvl w:val="0"/>
          <w:numId w:val="1"/>
        </w:numPr>
        <w:jc w:val="both"/>
      </w:pPr>
      <w:r>
        <w:t>Wykonawca będzie świadczył gotowość i zdolność do rozwoju Systemu SOPF w łącznym wymiarze 100 roboczogodzin przez okres 12 m-cy od dnia zawarcia umowy, z możliwością dokończenia realizacji zamówienia w 2021 r., jeśli zostało ono zaakceptowane przez Zamawiającego w okresie trwania umowy. Opis prac:</w:t>
      </w:r>
    </w:p>
    <w:p w:rsidR="00157906" w:rsidRDefault="00157906" w:rsidP="00157906">
      <w:pPr>
        <w:pStyle w:val="Akapitzlist"/>
        <w:ind w:left="1134" w:hanging="425"/>
        <w:jc w:val="both"/>
      </w:pPr>
      <w:r>
        <w:t>4.a. przez gotowość podjęcia prac rozwojowych w łącznym wymiarze 100 roboczogodzin, należy rozumieć zdolność i gotowość Wykonawcy do przyjęcia dodatkowego lub dodatkowych zleceń na nowe moduły oraz usprawnienia do systemu SOPF (rozbudowy systemu SOPF), które nie zostały opisane w pkt 3 niniejszego załącznika, a których potrzeba wynikła w trakcie realizacji zamówienia. Są to nowe moduły i usprawnienia do Systemu, których Zamawiający w momencie przygotowywania niniejszego zamówienia, przy zachowaniu należytej staranności nie był w stanie przewidzieć. Są to takie zlecenia, które technicznie i funkcjonalnie są zbliżone do zasad działania i zakresu funkcjonowania jak te opisane w pkt 3,</w:t>
      </w:r>
    </w:p>
    <w:p w:rsidR="00157906" w:rsidRDefault="00157906" w:rsidP="00157906">
      <w:pPr>
        <w:pStyle w:val="Akapitzlist"/>
        <w:ind w:left="1134" w:hanging="425"/>
        <w:jc w:val="both"/>
      </w:pPr>
      <w:r>
        <w:t>4.b. łączna wielkość zamówienia poszczególnych nowych modułów i usprawnień nie może przekroczyć 100 roboczogodzin w trakcie obowiązywania umowy,</w:t>
      </w:r>
    </w:p>
    <w:p w:rsidR="00157906" w:rsidRDefault="00157906" w:rsidP="00157906">
      <w:pPr>
        <w:pStyle w:val="Akapitzlist"/>
        <w:ind w:left="1134" w:hanging="425"/>
        <w:jc w:val="both"/>
      </w:pPr>
      <w:r>
        <w:t>4.c. każdorazowo Wykonawca na prośbę Zamawiającego wycenia implementację funkcjonalności związanej z rozwojem Systemu (tj. określa ile godzin roboczych jest niezbędnych do realizacji zgłoszonego zamówienia oraz określa termin wystawienia na serwer testowy Systemu SOPF uzupełnionego o zamawiany moduł/funkcjonalność),</w:t>
      </w:r>
    </w:p>
    <w:p w:rsidR="00157906" w:rsidRDefault="00157906" w:rsidP="00157906">
      <w:pPr>
        <w:pStyle w:val="Akapitzlist"/>
        <w:ind w:left="709"/>
        <w:jc w:val="both"/>
      </w:pPr>
      <w:r>
        <w:t>4.d. Zamawiającemu przysługuje możliwość negocjacji liczby roboczogodzin z Wykonawcą,</w:t>
      </w:r>
    </w:p>
    <w:p w:rsidR="00157906" w:rsidRDefault="00157906" w:rsidP="00157906">
      <w:pPr>
        <w:pStyle w:val="Akapitzlist"/>
        <w:ind w:left="1134" w:hanging="425"/>
        <w:jc w:val="both"/>
      </w:pPr>
      <w:r>
        <w:t>4.e. po akceptacji wyceny i terminu realizacji przez Zamawiającego, Wykonawca realizuje zamówienie i udostępnia opracowane usprawnienie lub moduł SOPF na serwerze testowym. Po przeprowadzeniu testów przez Zamawiającego i wprowadzeniu ewentualnych uwag zgłoszonych przez Zamawiającego, Wykonawca implementuje opracowane usprawnienie/moduł SOPF na serwerze produkcyjnym (właściwym),</w:t>
      </w:r>
    </w:p>
    <w:p w:rsidR="00157906" w:rsidRDefault="00157906" w:rsidP="00157906">
      <w:pPr>
        <w:pStyle w:val="Akapitzlist"/>
        <w:ind w:left="1134" w:hanging="425"/>
        <w:jc w:val="both"/>
      </w:pPr>
      <w:r>
        <w:t>4.f. Wykonawca po zakończeniu każdego etapu prac związanych z rozwojem systemu przygotowuje raport z wykorzystanych godzin, który będzie stanowił podstawę wystawienia faktury VAT,</w:t>
      </w:r>
    </w:p>
    <w:p w:rsidR="00157906" w:rsidRDefault="00157906" w:rsidP="00157906">
      <w:pPr>
        <w:pStyle w:val="Akapitzlist"/>
        <w:ind w:left="1134" w:hanging="425"/>
        <w:jc w:val="both"/>
      </w:pPr>
      <w:r>
        <w:t>4.g. zamówienia prac w ramach rozwoju SOPF zgłaszane są za pomocą adresu e-mail, wskazanego do kontaktu w zawartej umowie,</w:t>
      </w:r>
    </w:p>
    <w:p w:rsidR="00157906" w:rsidRDefault="00157906" w:rsidP="00157906">
      <w:pPr>
        <w:pStyle w:val="Akapitzlist"/>
        <w:ind w:left="709"/>
        <w:jc w:val="both"/>
      </w:pPr>
      <w:r>
        <w:t>4.h. odbiory prac każdorazowo będą potwierdzane stosownym protokołem odbioru,</w:t>
      </w:r>
    </w:p>
    <w:p w:rsidR="00157906" w:rsidRDefault="00157906" w:rsidP="00157906">
      <w:pPr>
        <w:pStyle w:val="Akapitzlist"/>
        <w:ind w:left="1134" w:hanging="425"/>
        <w:jc w:val="both"/>
      </w:pPr>
      <w:r>
        <w:t>4.i. Wykonawcy nie przysługuje roszczenie o wykorzystanie w całości 100 roboczogodzin oszacowanych przez Zamawiającego.</w:t>
      </w:r>
    </w:p>
    <w:p w:rsidR="00157906" w:rsidRPr="003F4D99" w:rsidRDefault="00157906" w:rsidP="00157906">
      <w:pPr>
        <w:suppressAutoHyphens w:val="0"/>
        <w:autoSpaceDN/>
        <w:spacing w:after="200" w:line="276" w:lineRule="auto"/>
        <w:ind w:left="426"/>
        <w:contextualSpacing/>
        <w:jc w:val="both"/>
        <w:textAlignment w:val="auto"/>
        <w:rPr>
          <w:rFonts w:cs="Calibri"/>
        </w:rPr>
      </w:pPr>
      <w:r>
        <w:lastRenderedPageBreak/>
        <w:t xml:space="preserve">5. </w:t>
      </w:r>
      <w:r w:rsidRPr="003F4D99">
        <w:rPr>
          <w:rFonts w:cs="Calibri"/>
        </w:rPr>
        <w:t>Przedmiot zamówienia obejmuje przeniesienie na Zamawiającego majątkowych praw autorskim w zakresie wskazanym w Załączniku nr 2</w:t>
      </w:r>
      <w:r>
        <w:rPr>
          <w:rFonts w:cs="Calibri"/>
        </w:rPr>
        <w:t>a</w:t>
      </w:r>
      <w:r w:rsidRPr="003F4D99">
        <w:rPr>
          <w:rFonts w:cs="Calibri"/>
        </w:rPr>
        <w:t xml:space="preserve"> do SIWZ - </w:t>
      </w:r>
      <w:r>
        <w:rPr>
          <w:rFonts w:cs="Calibri"/>
        </w:rPr>
        <w:t xml:space="preserve">Wzór umowy </w:t>
      </w:r>
      <w:r w:rsidRPr="003F4D99">
        <w:rPr>
          <w:rFonts w:cs="Calibri"/>
        </w:rPr>
        <w:t>I cz.</w:t>
      </w:r>
    </w:p>
    <w:p w:rsidR="00157906" w:rsidRPr="003F4D99" w:rsidRDefault="00157906" w:rsidP="00157906">
      <w:pPr>
        <w:suppressAutoHyphens w:val="0"/>
        <w:autoSpaceDN/>
        <w:spacing w:after="200" w:line="276" w:lineRule="auto"/>
        <w:ind w:left="426"/>
        <w:contextualSpacing/>
        <w:jc w:val="both"/>
        <w:textAlignment w:val="auto"/>
        <w:rPr>
          <w:rFonts w:cs="Calibri"/>
        </w:rPr>
      </w:pPr>
    </w:p>
    <w:p w:rsidR="00157906" w:rsidRDefault="00157906" w:rsidP="00157906">
      <w:pPr>
        <w:pStyle w:val="Akapitzlist"/>
        <w:ind w:left="1134" w:hanging="425"/>
        <w:jc w:val="both"/>
      </w:pPr>
    </w:p>
    <w:bookmarkEnd w:id="1"/>
    <w:p w:rsidR="00157906" w:rsidRDefault="00157906" w:rsidP="00157906">
      <w:pPr>
        <w:jc w:val="both"/>
      </w:pPr>
    </w:p>
    <w:p w:rsidR="000B5438" w:rsidRDefault="000B5438">
      <w:bookmarkStart w:id="2" w:name="_GoBack"/>
      <w:bookmarkEnd w:id="2"/>
    </w:p>
    <w:sectPr w:rsidR="000B54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05" w:rsidRDefault="00157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44" w:rsidRDefault="0015790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037B44" w:rsidRDefault="001579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05" w:rsidRDefault="0015790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05" w:rsidRDefault="00157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05" w:rsidRDefault="001579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44" w:rsidRDefault="00157906">
    <w:pPr>
      <w:pStyle w:val="Nagwek"/>
    </w:pPr>
    <w:r w:rsidRPr="00AC5B9F">
      <w:rPr>
        <w:noProof/>
        <w:lang w:eastAsia="pl-PL"/>
      </w:rPr>
      <w:drawing>
        <wp:inline distT="0" distB="0" distL="0" distR="0" wp14:anchorId="42DFF274" wp14:editId="246523A9">
          <wp:extent cx="5760720" cy="608965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A93"/>
    <w:multiLevelType w:val="multilevel"/>
    <w:tmpl w:val="A9B4F2F8"/>
    <w:styleLink w:val="WWNum7"/>
    <w:lvl w:ilvl="0">
      <w:numFmt w:val="bullet"/>
      <w:lvlText w:val=""/>
      <w:lvlJc w:val="left"/>
      <w:pPr>
        <w:ind w:left="3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20" w:hanging="360"/>
      </w:pPr>
      <w:rPr>
        <w:rFonts w:ascii="Wingdings" w:hAnsi="Wingdings"/>
      </w:rPr>
    </w:lvl>
  </w:abstractNum>
  <w:abstractNum w:abstractNumId="1" w15:restartNumberingAfterBreak="0">
    <w:nsid w:val="1B8E41F3"/>
    <w:multiLevelType w:val="multilevel"/>
    <w:tmpl w:val="8CFAB74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right"/>
      <w:pPr>
        <w:ind w:left="2160" w:hanging="180"/>
      </w:pPr>
      <w:rPr>
        <w:rFonts w:cs="F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7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06"/>
    <w:rsid w:val="000B5438"/>
    <w:rsid w:val="001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228C-B553-4130-B645-CBE84CB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7906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7906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aliases w:val="CW_Lista,Akapit z listą3,Akapit z listą31,Odstavec,Numerowanie,List Paragraph"/>
    <w:basedOn w:val="Standard"/>
    <w:link w:val="AkapitzlistZnak"/>
    <w:qFormat/>
    <w:rsid w:val="00157906"/>
    <w:pPr>
      <w:ind w:left="720"/>
    </w:pPr>
  </w:style>
  <w:style w:type="paragraph" w:styleId="Nagwek">
    <w:name w:val="header"/>
    <w:basedOn w:val="Normalny"/>
    <w:link w:val="NagwekZnak"/>
    <w:rsid w:val="0015790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57906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rsid w:val="0015790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157906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157906"/>
    <w:pPr>
      <w:numPr>
        <w:numId w:val="1"/>
      </w:numPr>
    </w:pPr>
  </w:style>
  <w:style w:type="numbering" w:customStyle="1" w:styleId="WWNum7">
    <w:name w:val="WWNum7"/>
    <w:basedOn w:val="Bezlisty"/>
    <w:rsid w:val="00157906"/>
    <w:pPr>
      <w:numPr>
        <w:numId w:val="2"/>
      </w:numPr>
    </w:p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157906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2020-03-11T11:31:00Z</dcterms:created>
  <dcterms:modified xsi:type="dcterms:W3CDTF">2020-03-11T11:31:00Z</dcterms:modified>
</cp:coreProperties>
</file>