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  <w:bookmarkStart w:id="0" w:name="_GoBack"/>
      <w:bookmarkEnd w:id="0"/>
    </w:p>
    <w:p w14:paraId="0A2C2BED" w14:textId="1C26D36F" w:rsidR="00A94996" w:rsidRPr="00A94996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 xml:space="preserve">Załącznik nr </w:t>
      </w:r>
      <w:r w:rsidR="009569EB">
        <w:rPr>
          <w:rFonts w:asciiTheme="minorHAnsi" w:hAnsiTheme="minorHAnsi" w:cs="Arial"/>
        </w:rPr>
        <w:t>4</w:t>
      </w:r>
      <w:r w:rsidRPr="00A94996">
        <w:rPr>
          <w:rFonts w:asciiTheme="minorHAnsi" w:hAnsiTheme="minorHAnsi" w:cs="Arial"/>
        </w:rPr>
        <w:t xml:space="preserve"> do SIWZ</w:t>
      </w:r>
      <w:r w:rsidRPr="00A94996">
        <w:rPr>
          <w:rFonts w:asciiTheme="minorHAnsi" w:hAnsiTheme="minorHAnsi" w:cs="Arial"/>
          <w:color w:val="auto"/>
        </w:rPr>
        <w:t xml:space="preserve"> – Biznes Plan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3F1B2622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</w:t>
      </w:r>
      <w:r w:rsidR="00036AC0">
        <w:rPr>
          <w:rFonts w:asciiTheme="minorHAnsi" w:hAnsiTheme="minorHAnsi" w:cs="Arial"/>
          <w:color w:val="auto"/>
        </w:rPr>
        <w:t xml:space="preserve">y przez Zamawiającego: </w:t>
      </w:r>
      <w:r w:rsidR="00036AC0" w:rsidRPr="009569EB">
        <w:rPr>
          <w:rFonts w:asciiTheme="minorHAnsi" w:hAnsiTheme="minorHAnsi" w:cs="Arial"/>
          <w:color w:val="auto"/>
        </w:rPr>
        <w:t>KPFR/PF/</w:t>
      </w:r>
      <w:r w:rsidR="009569EB" w:rsidRPr="009569EB">
        <w:rPr>
          <w:rFonts w:asciiTheme="minorHAnsi" w:hAnsiTheme="minorHAnsi" w:cs="Arial"/>
          <w:color w:val="auto"/>
        </w:rPr>
        <w:t>4/2018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1C44F41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2AAEC874" w14:textId="59B160AD" w:rsidR="002C09CC" w:rsidRDefault="00DC360E" w:rsidP="00A94996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6EA5E9C6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>3 ppkt.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>, a co za tym idzie, podlega odrzuceniu w trybie art. 89 ust. 1 pkt 2 ustawy Pzp</w:t>
      </w:r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Tabela-Siatka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0F92CF7B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</w:t>
            </w:r>
            <w:r w:rsidR="00DC360E">
              <w:rPr>
                <w:rFonts w:asciiTheme="minorHAnsi" w:hAnsiTheme="minorHAnsi"/>
                <w:sz w:val="20"/>
                <w:szCs w:val="20"/>
              </w:rPr>
              <w:t>Poręczenia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lastRenderedPageBreak/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0E2E4F18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</w:t>
            </w:r>
            <w:r w:rsidR="00C12ACC">
              <w:rPr>
                <w:rFonts w:asciiTheme="minorHAnsi" w:hAnsiTheme="minorHAnsi"/>
                <w:sz w:val="20"/>
              </w:rPr>
              <w:t>o udzielenie poręczenia</w:t>
            </w:r>
            <w:r w:rsidRPr="00BA462B">
              <w:rPr>
                <w:rFonts w:asciiTheme="minorHAnsi" w:hAnsiTheme="minorHAnsi"/>
                <w:sz w:val="20"/>
              </w:rPr>
              <w:t xml:space="preserve">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219D020B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</w:t>
            </w:r>
            <w:r w:rsidR="00C12ACC">
              <w:rPr>
                <w:rFonts w:asciiTheme="minorHAnsi" w:hAnsiTheme="minorHAnsi"/>
                <w:sz w:val="20"/>
              </w:rPr>
              <w:t>poręczenia</w:t>
            </w:r>
            <w:r w:rsidRPr="00BA462B">
              <w:rPr>
                <w:rFonts w:asciiTheme="minorHAnsi" w:hAnsiTheme="minorHAnsi"/>
                <w:sz w:val="20"/>
              </w:rPr>
              <w:t>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21BA870D" w:rsidR="00CF4CDA" w:rsidRPr="000C0E68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24512131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>iż działalność pożyczkowa</w:t>
            </w:r>
            <w:r w:rsidR="00CF64DF">
              <w:rPr>
                <w:rFonts w:asciiTheme="minorHAnsi" w:hAnsiTheme="minorHAnsi"/>
                <w:sz w:val="20"/>
              </w:rPr>
              <w:t>/poręczeniowa</w:t>
            </w:r>
            <w:r w:rsidR="000501B8" w:rsidRPr="00BA462B">
              <w:rPr>
                <w:rFonts w:asciiTheme="minorHAnsi" w:hAnsiTheme="minorHAnsi"/>
                <w:sz w:val="20"/>
              </w:rPr>
              <w:t xml:space="preserve"> związana z realizacją Zamówienia nie zastąpi dotychczasowej działalności Wykonawcy </w:t>
            </w:r>
            <w:r w:rsidR="000958A8">
              <w:rPr>
                <w:rFonts w:asciiTheme="minorHAnsi" w:hAnsiTheme="minorHAnsi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sz w:val="20"/>
              </w:rPr>
              <w:t>w zakresie udzie</w:t>
            </w:r>
            <w:r w:rsidRPr="00B85C47">
              <w:rPr>
                <w:rFonts w:asciiTheme="minorHAnsi" w:hAnsiTheme="minorHAnsi"/>
                <w:sz w:val="20"/>
              </w:rPr>
              <w:t>lania pożyczek/</w:t>
            </w:r>
            <w:r w:rsidR="00CF64DF">
              <w:rPr>
                <w:rFonts w:asciiTheme="minorHAnsi" w:hAnsiTheme="minorHAnsi"/>
                <w:sz w:val="20"/>
              </w:rPr>
              <w:t>poręczeń</w:t>
            </w:r>
            <w:r w:rsidRPr="00B85C47">
              <w:rPr>
                <w:rFonts w:asciiTheme="minorHAnsi" w:hAnsiTheme="minorHAnsi"/>
                <w:sz w:val="20"/>
              </w:rPr>
              <w:t xml:space="preserve">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7B4200">
              <w:rPr>
                <w:sz w:val="20"/>
              </w:rPr>
            </w:r>
            <w:r w:rsidR="007B4200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4C39CBE0" w14:textId="2E608B16" w:rsidR="00D9439D" w:rsidRDefault="00D9439D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48C488F5" w14:textId="77777777" w:rsidR="00A40FC7" w:rsidRPr="00D223A5" w:rsidRDefault="00A40FC7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079E064D" w:rsidR="00D9439D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54647EC7" w14:textId="77777777" w:rsidR="00A40FC7" w:rsidRPr="00D223A5" w:rsidRDefault="00A40FC7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25362" w:rsidRPr="00897979" w14:paraId="16C36481" w14:textId="77777777" w:rsidTr="002961B7">
        <w:trPr>
          <w:trHeight w:val="2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1A63F" w14:textId="2C46DCBD" w:rsidR="009C4644" w:rsidRPr="00336AB3" w:rsidRDefault="002961B7" w:rsidP="00E25362">
            <w:pPr>
              <w:snapToGrid w:val="0"/>
              <w:jc w:val="both"/>
              <w:rPr>
                <w:rFonts w:ascii="Calibri" w:hAnsi="Calibri"/>
                <w:b/>
                <w:strike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9569E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 xml:space="preserve">DŁUGOŚĆ 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>OKRES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 xml:space="preserve"> BUDOWY PORTFELA W RAMACH INSTRUMENTÓW FINANSOWYCH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940E00" w:rsidRPr="00897979" w14:paraId="0BFE2B44" w14:textId="77777777" w:rsidTr="002961B7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CAD38" w14:textId="4193A294" w:rsidR="00940E00" w:rsidRPr="004161C6" w:rsidRDefault="007B047D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W tabeli 2 n</w:t>
            </w:r>
            <w:r w:rsidR="00940E00" w:rsidRPr="00D223A5">
              <w:rPr>
                <w:rFonts w:ascii="Calibri" w:hAnsi="Calibri"/>
                <w:i/>
              </w:rPr>
              <w:t>ależy wskazać</w:t>
            </w:r>
            <w:r>
              <w:rPr>
                <w:rFonts w:ascii="Calibri" w:hAnsi="Calibri"/>
                <w:i/>
              </w:rPr>
              <w:t xml:space="preserve"> </w:t>
            </w:r>
            <w:r w:rsidR="00EB4F85">
              <w:rPr>
                <w:rFonts w:ascii="Calibri" w:hAnsi="Calibri"/>
                <w:i/>
              </w:rPr>
              <w:t>liczbę miesięcy o jaką Wykonawca zamierza skrócić</w:t>
            </w:r>
            <w:r w:rsidR="00940E00" w:rsidRPr="00D223A5">
              <w:rPr>
                <w:rFonts w:ascii="Calibri" w:hAnsi="Calibri"/>
                <w:i/>
              </w:rPr>
              <w:t xml:space="preserve"> Okres Budowy Portfel</w:t>
            </w:r>
            <w:r w:rsidR="00B76CFA" w:rsidRPr="00D223A5">
              <w:rPr>
                <w:rFonts w:ascii="Calibri" w:hAnsi="Calibri"/>
                <w:i/>
              </w:rPr>
              <w:t>a</w:t>
            </w:r>
            <w:r w:rsidR="00940E00" w:rsidRPr="00D223A5">
              <w:rPr>
                <w:rFonts w:ascii="Calibri" w:hAnsi="Calibri"/>
                <w:i/>
              </w:rPr>
              <w:t xml:space="preserve">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</w:t>
            </w:r>
            <w:r w:rsidR="00940E00" w:rsidRPr="00943209">
              <w:rPr>
                <w:rFonts w:ascii="Calibri" w:hAnsi="Calibri"/>
                <w:i/>
              </w:rPr>
              <w:t xml:space="preserve">Finansowego </w:t>
            </w:r>
            <w:r w:rsidR="004C2BA4" w:rsidRPr="00943209">
              <w:rPr>
                <w:rFonts w:ascii="Calibri" w:hAnsi="Calibri"/>
                <w:i/>
              </w:rPr>
              <w:t>Poręczenie</w:t>
            </w:r>
            <w:r w:rsidR="009569EB">
              <w:rPr>
                <w:rFonts w:ascii="Calibri" w:hAnsi="Calibri"/>
                <w:i/>
              </w:rPr>
              <w:t xml:space="preserve">. 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Nieuzupełnienie pola podlegającego ocenie, skutkuje </w:t>
            </w:r>
            <w:r w:rsidR="00EB4F85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Okres Budowy Portfela określony w SIWZ i tym samym zostanie mu przyznane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0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E25362" w:rsidRPr="00897979" w14:paraId="3558B574" w14:textId="77777777" w:rsidTr="0047195B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F36361" w14:textId="02D36FD7" w:rsidR="00E25362" w:rsidRDefault="00B76CFA" w:rsidP="00E2536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Tabela </w:t>
            </w:r>
            <w:r w:rsidR="009569EB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25362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E25362">
              <w:rPr>
                <w:rFonts w:ascii="Calibri" w:hAnsi="Calibri"/>
                <w:b/>
                <w:sz w:val="20"/>
                <w:szCs w:val="20"/>
              </w:rPr>
              <w:t xml:space="preserve">Informacje dot. zakładanego Okresu Budowy Portfela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40CC746F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74387B1E" w14:textId="341D3CDB" w:rsidR="00C971C0" w:rsidRPr="004C7652" w:rsidRDefault="002961B7" w:rsidP="00CC021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35D829E8" w14:textId="55ACA8E3" w:rsidR="00C971C0" w:rsidRPr="004C6E90" w:rsidRDefault="00EB4F85" w:rsidP="00CC0218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Liczba miesięcy </w:t>
                  </w:r>
                  <w:r w:rsidR="00223AEA"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>o jaką Wykonawca zamierza skrócić Okres Budowy Portfela</w:t>
                  </w:r>
                </w:p>
              </w:tc>
            </w:tr>
            <w:tr w:rsidR="00C971C0" w:rsidRPr="004C7652" w14:paraId="44D93834" w14:textId="77777777" w:rsidTr="00CC0218">
              <w:trPr>
                <w:trHeight w:val="163"/>
              </w:trPr>
              <w:tc>
                <w:tcPr>
                  <w:tcW w:w="2138" w:type="pct"/>
                  <w:vAlign w:val="center"/>
                </w:tcPr>
                <w:p w14:paraId="184ACF8F" w14:textId="0476325F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Poręczeni</w:t>
                  </w:r>
                  <w:r w:rsidR="000B195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862" w:type="pct"/>
                  <w:vAlign w:val="center"/>
                </w:tcPr>
                <w:p w14:paraId="09094CF0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DF263" w14:textId="457720E2" w:rsidR="004C215D" w:rsidRPr="00EB4F85" w:rsidRDefault="004C215D" w:rsidP="00EB4F85">
            <w:pPr>
              <w:pStyle w:val="Akapitzlist"/>
              <w:snapToGrid w:val="0"/>
              <w:spacing w:before="240" w:after="24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D550A" w:rsidRPr="00897979" w14:paraId="7D971532" w14:textId="77777777" w:rsidTr="00B62108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880E3E" w14:textId="4691E2F8" w:rsidR="00FD550A" w:rsidRPr="00E03A84" w:rsidRDefault="00DE537C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II.</w:t>
            </w:r>
            <w:r w:rsidR="00A40FC7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569EB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 SIEĆ</w:t>
            </w:r>
            <w:r w:rsidR="00FD550A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PORĘCZEŃ </w:t>
            </w:r>
          </w:p>
        </w:tc>
      </w:tr>
      <w:tr w:rsidR="00FD550A" w:rsidRPr="00897979" w14:paraId="5294CF44" w14:textId="77777777" w:rsidTr="00EB4F85">
        <w:trPr>
          <w:trHeight w:val="97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A8536A" w14:textId="7B8D6AFF" w:rsidR="00FD550A" w:rsidRPr="00FD550A" w:rsidRDefault="00FD550A" w:rsidP="00FD550A">
            <w:pPr>
              <w:pStyle w:val="Default"/>
              <w:jc w:val="both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Poniżej należy wskazać </w:t>
            </w:r>
            <w:r w:rsidR="00257E7A">
              <w:rPr>
                <w:rFonts w:ascii="Calibri" w:hAnsi="Calibri"/>
                <w:i/>
                <w:color w:val="auto"/>
                <w:sz w:val="20"/>
                <w:szCs w:val="20"/>
              </w:rPr>
              <w:t>liczbę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umów 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z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instytucjami finansującymi, udzielającymi kredytów/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pożyczek,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w których dostępna będzie oferta Wykonawcy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, z którymi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Wykonawca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będzie miał zawarte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umowy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na dz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ień podpisania Umowy Operacyjnej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</w:tc>
      </w:tr>
      <w:tr w:rsidR="00FD550A" w:rsidRPr="00897979" w14:paraId="17014F0C" w14:textId="77777777" w:rsidTr="005145C3">
        <w:trPr>
          <w:trHeight w:val="134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40481" w14:textId="77777777" w:rsidR="004C6E90" w:rsidRDefault="004C6E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988228" w14:textId="2545F393" w:rsidR="004C6E90" w:rsidRDefault="004C6E90">
            <w:r>
              <w:rPr>
                <w:rFonts w:ascii="Calibri" w:hAnsi="Calibri"/>
                <w:b/>
                <w:sz w:val="20"/>
                <w:szCs w:val="20"/>
              </w:rPr>
              <w:t xml:space="preserve">Tabela </w:t>
            </w:r>
            <w:r w:rsidR="00A40FC7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Informacje dot. umów z instytucjami finansującymi.</w:t>
            </w:r>
          </w:p>
          <w:tbl>
            <w:tblPr>
              <w:tblW w:w="35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6214"/>
            </w:tblGrid>
            <w:tr w:rsidR="003B367C" w:rsidRPr="00C971C0" w14:paraId="4FC4A8EE" w14:textId="77777777" w:rsidTr="003B367C">
              <w:trPr>
                <w:trHeight w:val="364"/>
              </w:trPr>
              <w:tc>
                <w:tcPr>
                  <w:tcW w:w="580" w:type="pct"/>
                  <w:vAlign w:val="center"/>
                </w:tcPr>
                <w:p w14:paraId="7E3D2601" w14:textId="77777777" w:rsidR="003B367C" w:rsidRPr="004C7652" w:rsidRDefault="003B367C" w:rsidP="003B367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0" w:type="pct"/>
                  <w:vAlign w:val="center"/>
                </w:tcPr>
                <w:p w14:paraId="0AE7E489" w14:textId="50930E31" w:rsidR="003B367C" w:rsidRPr="004C7652" w:rsidRDefault="003B367C" w:rsidP="003B367C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instytucji finansującej</w:t>
                  </w:r>
                </w:p>
              </w:tc>
            </w:tr>
            <w:tr w:rsidR="003B367C" w:rsidRPr="004C7652" w14:paraId="03167FC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4691975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0" w:type="pct"/>
                  <w:vAlign w:val="center"/>
                </w:tcPr>
                <w:p w14:paraId="5A66C4A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7CA69EE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92EAA4B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0E4809A4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55E0B" w:rsidRPr="004C7652" w14:paraId="62733787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4CB7555B" w14:textId="77777777" w:rsidR="00255E0B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30525AD4" w14:textId="77777777" w:rsidR="00255E0B" w:rsidRPr="00C971C0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55E0B" w:rsidRPr="004C7652" w14:paraId="6758036A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9261EF0" w14:textId="77777777" w:rsidR="00255E0B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467DE8C7" w14:textId="77777777" w:rsidR="00255E0B" w:rsidRPr="00C971C0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55E0B" w:rsidRPr="004C7652" w14:paraId="027579A2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3687F3A4" w14:textId="77777777" w:rsidR="00255E0B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189AB744" w14:textId="77777777" w:rsidR="00255E0B" w:rsidRPr="00C971C0" w:rsidRDefault="00255E0B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29526FC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3D3A367E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7D495D81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45EAD513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2F792EAD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70069E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55DE0D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669D949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5C1C2E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E9F0EA2" w14:textId="77777777" w:rsidR="00FD550A" w:rsidRPr="00D223A5" w:rsidRDefault="00FD550A" w:rsidP="00FD550A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63AB4165" w14:textId="77777777" w:rsidR="00255E0B" w:rsidRDefault="00255E0B" w:rsidP="00A94996">
      <w:pPr>
        <w:rPr>
          <w:rFonts w:asciiTheme="minorHAnsi" w:hAnsiTheme="minorHAnsi"/>
          <w:sz w:val="20"/>
          <w:szCs w:val="20"/>
        </w:rPr>
      </w:pPr>
    </w:p>
    <w:p w14:paraId="1180E51C" w14:textId="6FC7EBBA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A94996" w:rsidRPr="00A94996" w14:paraId="7CCB7C92" w14:textId="77777777" w:rsidTr="00F13BF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13BF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F13BF0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693498E" w14:textId="77777777" w:rsidR="00F87CBE" w:rsidRDefault="00F87CBE" w:rsidP="00AF785D">
      <w:pPr>
        <w:spacing w:before="60" w:after="60"/>
        <w:jc w:val="both"/>
        <w:rPr>
          <w:rFonts w:ascii="Calibri" w:hAnsi="Calibri"/>
          <w:b/>
          <w:u w:val="single"/>
        </w:rPr>
      </w:pPr>
    </w:p>
    <w:p w14:paraId="70D9BBDE" w14:textId="6C28C49B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70B0A8D7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14:paraId="444A2F86" w14:textId="77777777" w:rsidR="00AF1F34" w:rsidRPr="00897979" w:rsidRDefault="00AF1F34" w:rsidP="00AF785D">
      <w:pPr>
        <w:rPr>
          <w:rFonts w:ascii="Calibri" w:hAnsi="Calibri"/>
        </w:rPr>
      </w:pPr>
    </w:p>
    <w:sectPr w:rsidR="00AF1F34" w:rsidRPr="00897979" w:rsidSect="008266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4ADB61EA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42EAF2C9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66040302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01BC35B8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 w:rsidR="007B4200" w:rsidRPr="00407F48">
      <w:rPr>
        <w:noProof/>
      </w:rPr>
      <w:drawing>
        <wp:inline distT="0" distB="0" distL="0" distR="0" wp14:anchorId="2C657689" wp14:editId="4B81436F">
          <wp:extent cx="5581015" cy="590233"/>
          <wp:effectExtent l="0" t="0" r="635" b="635"/>
          <wp:docPr id="1" name="Obraz 1" descr="C:\Users\a.dzienciol\AppData\Local\Microsoft\Windows\Temporary Internet Files\Content.Outlook\1QLAZ8D9\poziom_kolor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zienciol\AppData\Local\Microsoft\Windows\Temporary Internet Files\Content.Outlook\1QLAZ8D9\poziom_kolor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1"/>
  </w:num>
  <w:num w:numId="5">
    <w:abstractNumId w:val="30"/>
  </w:num>
  <w:num w:numId="6">
    <w:abstractNumId w:val="5"/>
  </w:num>
  <w:num w:numId="7">
    <w:abstractNumId w:val="23"/>
  </w:num>
  <w:num w:numId="8">
    <w:abstractNumId w:val="24"/>
  </w:num>
  <w:num w:numId="9">
    <w:abstractNumId w:val="0"/>
  </w:num>
  <w:num w:numId="10">
    <w:abstractNumId w:val="18"/>
  </w:num>
  <w:num w:numId="11">
    <w:abstractNumId w:val="26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8"/>
  </w:num>
  <w:num w:numId="23">
    <w:abstractNumId w:val="7"/>
  </w:num>
  <w:num w:numId="24">
    <w:abstractNumId w:val="11"/>
  </w:num>
  <w:num w:numId="25">
    <w:abstractNumId w:val="4"/>
  </w:num>
  <w:num w:numId="26">
    <w:abstractNumId w:val="6"/>
  </w:num>
  <w:num w:numId="27">
    <w:abstractNumId w:val="10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5"/>
  </w:num>
  <w:num w:numId="33">
    <w:abstractNumId w:val="27"/>
  </w:num>
  <w:num w:numId="34">
    <w:abstractNumId w:val="8"/>
  </w:num>
  <w:num w:numId="35">
    <w:abstractNumId w:val="12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0DB"/>
    <w:rsid w:val="000009B5"/>
    <w:rsid w:val="000104A3"/>
    <w:rsid w:val="000115C0"/>
    <w:rsid w:val="00015B1C"/>
    <w:rsid w:val="00016756"/>
    <w:rsid w:val="00016DA7"/>
    <w:rsid w:val="0002761C"/>
    <w:rsid w:val="000302D4"/>
    <w:rsid w:val="000320DB"/>
    <w:rsid w:val="00036AC0"/>
    <w:rsid w:val="00044B24"/>
    <w:rsid w:val="000501B8"/>
    <w:rsid w:val="00065471"/>
    <w:rsid w:val="000659AE"/>
    <w:rsid w:val="000724F7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1938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3AEA"/>
    <w:rsid w:val="0022438A"/>
    <w:rsid w:val="00224864"/>
    <w:rsid w:val="0024150E"/>
    <w:rsid w:val="002458F0"/>
    <w:rsid w:val="00255E0B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36AB3"/>
    <w:rsid w:val="00345F8D"/>
    <w:rsid w:val="00356879"/>
    <w:rsid w:val="00357DD1"/>
    <w:rsid w:val="00360C82"/>
    <w:rsid w:val="00375AB2"/>
    <w:rsid w:val="00385F83"/>
    <w:rsid w:val="003A1224"/>
    <w:rsid w:val="003A34AD"/>
    <w:rsid w:val="003A66B2"/>
    <w:rsid w:val="003B367C"/>
    <w:rsid w:val="003B63C5"/>
    <w:rsid w:val="003D1EE1"/>
    <w:rsid w:val="003D285D"/>
    <w:rsid w:val="003E2D36"/>
    <w:rsid w:val="003E7556"/>
    <w:rsid w:val="003F06C9"/>
    <w:rsid w:val="003F17FA"/>
    <w:rsid w:val="003F2A3D"/>
    <w:rsid w:val="004005EF"/>
    <w:rsid w:val="004048BB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536DB"/>
    <w:rsid w:val="004674FC"/>
    <w:rsid w:val="00470D30"/>
    <w:rsid w:val="0047195B"/>
    <w:rsid w:val="00484A89"/>
    <w:rsid w:val="00484E3D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6E90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612AB"/>
    <w:rsid w:val="00570521"/>
    <w:rsid w:val="005A0FED"/>
    <w:rsid w:val="005A1FD9"/>
    <w:rsid w:val="005A399F"/>
    <w:rsid w:val="005A5EDD"/>
    <w:rsid w:val="005B0F26"/>
    <w:rsid w:val="005C7BB7"/>
    <w:rsid w:val="005E4586"/>
    <w:rsid w:val="005F566C"/>
    <w:rsid w:val="005F7350"/>
    <w:rsid w:val="00607948"/>
    <w:rsid w:val="00622AD7"/>
    <w:rsid w:val="0064109A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B1600"/>
    <w:rsid w:val="006B71DF"/>
    <w:rsid w:val="006C162B"/>
    <w:rsid w:val="006C5463"/>
    <w:rsid w:val="006C7F80"/>
    <w:rsid w:val="006D428B"/>
    <w:rsid w:val="006D4922"/>
    <w:rsid w:val="006E0462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6813"/>
    <w:rsid w:val="007368D8"/>
    <w:rsid w:val="00736AB9"/>
    <w:rsid w:val="007402B3"/>
    <w:rsid w:val="00760345"/>
    <w:rsid w:val="00770F3C"/>
    <w:rsid w:val="007739FB"/>
    <w:rsid w:val="00773DF9"/>
    <w:rsid w:val="0078373E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4200"/>
    <w:rsid w:val="007B6D30"/>
    <w:rsid w:val="007C3AFA"/>
    <w:rsid w:val="007C4B18"/>
    <w:rsid w:val="007D11C3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566AC"/>
    <w:rsid w:val="00865D7D"/>
    <w:rsid w:val="00866EDF"/>
    <w:rsid w:val="00870C1B"/>
    <w:rsid w:val="008744D1"/>
    <w:rsid w:val="0088254D"/>
    <w:rsid w:val="00882C28"/>
    <w:rsid w:val="00883F84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209"/>
    <w:rsid w:val="00943396"/>
    <w:rsid w:val="009472C1"/>
    <w:rsid w:val="009505E2"/>
    <w:rsid w:val="0095107B"/>
    <w:rsid w:val="00953CD3"/>
    <w:rsid w:val="009554DA"/>
    <w:rsid w:val="009569EB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0FC7"/>
    <w:rsid w:val="00A445FA"/>
    <w:rsid w:val="00A4757A"/>
    <w:rsid w:val="00A57B2B"/>
    <w:rsid w:val="00A72AD2"/>
    <w:rsid w:val="00A738C5"/>
    <w:rsid w:val="00A77692"/>
    <w:rsid w:val="00A824EA"/>
    <w:rsid w:val="00A83288"/>
    <w:rsid w:val="00A86047"/>
    <w:rsid w:val="00A861A2"/>
    <w:rsid w:val="00A91AD5"/>
    <w:rsid w:val="00A92F6D"/>
    <w:rsid w:val="00A94996"/>
    <w:rsid w:val="00A949EB"/>
    <w:rsid w:val="00AB16C9"/>
    <w:rsid w:val="00AB4765"/>
    <w:rsid w:val="00AB5949"/>
    <w:rsid w:val="00AB739B"/>
    <w:rsid w:val="00AE4EAE"/>
    <w:rsid w:val="00AF0B23"/>
    <w:rsid w:val="00AF1F34"/>
    <w:rsid w:val="00AF5B41"/>
    <w:rsid w:val="00AF785D"/>
    <w:rsid w:val="00B2285D"/>
    <w:rsid w:val="00B35D70"/>
    <w:rsid w:val="00B35FAF"/>
    <w:rsid w:val="00B4533A"/>
    <w:rsid w:val="00B55C2C"/>
    <w:rsid w:val="00B62108"/>
    <w:rsid w:val="00B706AB"/>
    <w:rsid w:val="00B72B8D"/>
    <w:rsid w:val="00B76CFA"/>
    <w:rsid w:val="00B776FE"/>
    <w:rsid w:val="00B808C2"/>
    <w:rsid w:val="00B838CC"/>
    <w:rsid w:val="00B84C66"/>
    <w:rsid w:val="00B85C47"/>
    <w:rsid w:val="00B86725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D6A1E"/>
    <w:rsid w:val="00BE6F7E"/>
    <w:rsid w:val="00C07070"/>
    <w:rsid w:val="00C10D99"/>
    <w:rsid w:val="00C12ACC"/>
    <w:rsid w:val="00C148B0"/>
    <w:rsid w:val="00C22D9A"/>
    <w:rsid w:val="00C26DAF"/>
    <w:rsid w:val="00C53121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B5122"/>
    <w:rsid w:val="00DC360E"/>
    <w:rsid w:val="00DC7036"/>
    <w:rsid w:val="00DD0DD0"/>
    <w:rsid w:val="00DD2B3C"/>
    <w:rsid w:val="00DE537C"/>
    <w:rsid w:val="00DE7177"/>
    <w:rsid w:val="00DE78E0"/>
    <w:rsid w:val="00DF7053"/>
    <w:rsid w:val="00E03A84"/>
    <w:rsid w:val="00E14DFB"/>
    <w:rsid w:val="00E2196F"/>
    <w:rsid w:val="00E2208F"/>
    <w:rsid w:val="00E25362"/>
    <w:rsid w:val="00E31C4C"/>
    <w:rsid w:val="00E35BE2"/>
    <w:rsid w:val="00E467F3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CB77901"/>
  <w15:docId w15:val="{E7F9D581-7784-4611-912B-352D05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Tabela-Siatka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72A2-FA42-4A17-8BD2-5D7868A5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a.dzieciol</cp:lastModifiedBy>
  <cp:revision>10</cp:revision>
  <cp:lastPrinted>2018-05-10T09:40:00Z</cp:lastPrinted>
  <dcterms:created xsi:type="dcterms:W3CDTF">2017-11-10T06:58:00Z</dcterms:created>
  <dcterms:modified xsi:type="dcterms:W3CDTF">2018-05-17T11:52:00Z</dcterms:modified>
</cp:coreProperties>
</file>