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5C" w:rsidRDefault="00F7765C" w:rsidP="004D05FB">
      <w:pPr>
        <w:pStyle w:val="Default"/>
        <w:ind w:left="5529" w:firstLine="2126"/>
        <w:rPr>
          <w:rFonts w:asciiTheme="minorHAnsi" w:hAnsiTheme="minorHAnsi" w:cs="Times New Roman"/>
          <w:b/>
          <w:bCs/>
          <w:color w:val="auto"/>
        </w:rPr>
      </w:pPr>
    </w:p>
    <w:p w:rsidR="008B0263" w:rsidRDefault="008B0263" w:rsidP="004D05FB">
      <w:pPr>
        <w:pStyle w:val="Default"/>
        <w:ind w:left="5529" w:firstLine="2126"/>
        <w:rPr>
          <w:rFonts w:asciiTheme="minorHAnsi" w:hAnsiTheme="minorHAnsi" w:cs="Times New Roman"/>
          <w:b/>
          <w:bCs/>
          <w:color w:val="auto"/>
        </w:rPr>
      </w:pPr>
      <w:r w:rsidRPr="004D05FB">
        <w:rPr>
          <w:rFonts w:asciiTheme="minorHAnsi" w:hAnsiTheme="minorHAnsi" w:cs="Times New Roman"/>
          <w:b/>
          <w:bCs/>
          <w:color w:val="auto"/>
        </w:rPr>
        <w:t xml:space="preserve">Załącznik </w:t>
      </w:r>
      <w:r w:rsidR="004D05FB" w:rsidRPr="004D05FB">
        <w:rPr>
          <w:rFonts w:asciiTheme="minorHAnsi" w:hAnsiTheme="minorHAnsi" w:cs="Times New Roman"/>
          <w:b/>
          <w:bCs/>
          <w:color w:val="auto"/>
        </w:rPr>
        <w:t>nr 4</w:t>
      </w:r>
      <w:r w:rsidRPr="004D05FB">
        <w:rPr>
          <w:rFonts w:asciiTheme="minorHAnsi" w:hAnsiTheme="minorHAnsi" w:cs="Times New Roman"/>
          <w:b/>
          <w:bCs/>
          <w:color w:val="auto"/>
        </w:rPr>
        <w:t xml:space="preserve"> do Umowy Operacyjnej</w:t>
      </w:r>
      <w:r w:rsidR="004D05FB" w:rsidRPr="004D05FB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351791">
        <w:rPr>
          <w:rFonts w:asciiTheme="minorHAnsi" w:hAnsiTheme="minorHAnsi" w:cs="Times New Roman"/>
          <w:b/>
          <w:bCs/>
          <w:color w:val="auto"/>
        </w:rPr>
        <w:t>–</w:t>
      </w:r>
      <w:r w:rsidR="004D05FB" w:rsidRPr="004D05FB">
        <w:rPr>
          <w:rFonts w:asciiTheme="minorHAnsi" w:hAnsiTheme="minorHAnsi" w:cs="Times New Roman"/>
          <w:b/>
          <w:bCs/>
          <w:color w:val="auto"/>
        </w:rPr>
        <w:t xml:space="preserve"> Pożyczka</w:t>
      </w:r>
    </w:p>
    <w:p w:rsidR="00351791" w:rsidRPr="004D05FB" w:rsidRDefault="00351791" w:rsidP="004D05FB">
      <w:pPr>
        <w:pStyle w:val="Default"/>
        <w:ind w:left="5529" w:firstLine="2126"/>
        <w:rPr>
          <w:rFonts w:asciiTheme="minorHAnsi" w:hAnsiTheme="minorHAnsi" w:cs="Times New Roman"/>
          <w:b/>
          <w:bCs/>
          <w:color w:val="auto"/>
        </w:rPr>
      </w:pPr>
    </w:p>
    <w:p w:rsidR="008B0263" w:rsidRPr="003910FF" w:rsidRDefault="008B0263" w:rsidP="008B0263">
      <w:pPr>
        <w:pStyle w:val="Default"/>
        <w:ind w:left="4956"/>
        <w:rPr>
          <w:rFonts w:asciiTheme="minorHAnsi" w:hAnsiTheme="minorHAnsi" w:cs="Times New Roman"/>
          <w:color w:val="auto"/>
          <w:sz w:val="20"/>
          <w:szCs w:val="20"/>
          <w:highlight w:val="yellow"/>
        </w:rPr>
      </w:pPr>
    </w:p>
    <w:p w:rsidR="008B0263" w:rsidRDefault="008B0263" w:rsidP="008B0263">
      <w:pPr>
        <w:jc w:val="center"/>
        <w:rPr>
          <w:rFonts w:cs="Times New Roman"/>
          <w:b/>
          <w:bCs/>
          <w:sz w:val="28"/>
          <w:szCs w:val="28"/>
        </w:rPr>
      </w:pPr>
      <w:r w:rsidRPr="003910FF">
        <w:rPr>
          <w:rFonts w:cs="Times New Roman"/>
          <w:b/>
          <w:bCs/>
          <w:sz w:val="28"/>
          <w:szCs w:val="28"/>
        </w:rPr>
        <w:t>Procedura Składania Rozliczeń</w:t>
      </w:r>
      <w:r w:rsidR="00351791" w:rsidRPr="00351791">
        <w:t xml:space="preserve"> </w:t>
      </w:r>
      <w:r w:rsidR="00351791" w:rsidRPr="00351791">
        <w:rPr>
          <w:rFonts w:cs="Times New Roman"/>
          <w:b/>
          <w:bCs/>
          <w:sz w:val="28"/>
          <w:szCs w:val="28"/>
        </w:rPr>
        <w:t>Operacji</w:t>
      </w:r>
    </w:p>
    <w:p w:rsidR="00351791" w:rsidRPr="00D8358F" w:rsidRDefault="00351791" w:rsidP="008B0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263" w:rsidRPr="00707369" w:rsidTr="00A91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8B0263" w:rsidP="00C117E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707369">
              <w:rPr>
                <w:rFonts w:asciiTheme="minorHAnsi" w:hAnsiTheme="minorHAnsi" w:cstheme="minorHAnsi"/>
                <w:u w:val="single"/>
              </w:rPr>
              <w:t>Wniosek o Wypłatę Transzy</w:t>
            </w: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Menadżer Fundus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zu Funduszy powierzy Pośrednikowi Finansowemu na podstawie Umowy Operacyjnej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środ</w:t>
            </w:r>
            <w:r w:rsidR="003F549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ki w celu wdrożenia Instrumentu Finansowego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. Udostępnienie </w:t>
            </w:r>
            <w:r w:rsidR="00EB0F06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środków Pośrednikowi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Finansowemu następuje na podstawie złożonego przez Pośrednika Finansowego Wniosku o wypłatę transzy (dalej ,,wniosek’’).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Wniosek składany jest w wersji papierowej 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lub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elektronicznej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wykorzystaniem kwalifikowanego podpisu elektronicznego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). Wersja papierowa Wniosku składana jest osobiście lub pocztą za zwrotnym potwierdzeniem odbioru bądź przesyłką kurierską (decyduje data wpływu do biura MFF) przez Pośrednika Finansowego na adres wskazany </w:t>
            </w:r>
            <w:r w:rsidR="00130C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Umowie jako adres do powiadomień.</w:t>
            </w:r>
            <w:r w:rsidR="00DA251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Wersja elektroniczna wniosku przesyłana jest na adres skrzynki pocztowej wskazany w Umowie.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Wniosek podlega weryfikacji pod względem formalnym, merytorycznym oraz rachunkowym w ciągu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20 dni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roboczych od daty jego wpływu </w:t>
            </w:r>
            <w:r w:rsidR="003841F0">
              <w:rPr>
                <w:rFonts w:asciiTheme="minorHAnsi" w:hAnsiTheme="minorHAnsi" w:cstheme="minorHAnsi"/>
                <w:b w:val="0"/>
                <w:sz w:val="22"/>
                <w:szCs w:val="22"/>
              </w:rPr>
              <w:t>na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adres wskazany w Umowie jako adres do powiadomień.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Pośrednik Fi</w:t>
            </w:r>
            <w:r w:rsidR="00680A15">
              <w:rPr>
                <w:rFonts w:asciiTheme="minorHAnsi" w:hAnsiTheme="minorHAnsi" w:cstheme="minorHAnsi"/>
                <w:b w:val="0"/>
                <w:sz w:val="22"/>
                <w:szCs w:val="22"/>
              </w:rPr>
              <w:t>nansowy sporządza i przedkłada W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nioski do MFF dla Instrumentu Finansowego, przy czym: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pierwszy Wniosek jest składany przez Pośrednika Finansowego w terminie 10 dni Roboczych od daty zawarcia Umowy,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drugi Wniosek złożony zostanie przez Pośrednika Finansowego, gdy przynajmniej 60% kwoty przekazanej na </w:t>
            </w:r>
            <w:r w:rsidR="007E4796">
              <w:rPr>
                <w:rFonts w:asciiTheme="minorHAnsi" w:hAnsiTheme="minorHAnsi" w:cstheme="minorHAnsi"/>
                <w:b w:val="0"/>
                <w:sz w:val="22"/>
                <w:szCs w:val="22"/>
              </w:rPr>
              <w:t>podstawie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20D2D">
              <w:rPr>
                <w:rFonts w:asciiTheme="minorHAnsi" w:hAnsiTheme="minorHAnsi" w:cstheme="minorHAnsi"/>
                <w:b w:val="0"/>
                <w:sz w:val="22"/>
                <w:szCs w:val="22"/>
              </w:rPr>
              <w:t>pierwszego Wniosku uzupełnionej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 Wkład Pośrednika Finansowego wypłacono na rzecz Ostatecznych Odbiorców, zgodnie z zasadami określonymi w Umowie</w:t>
            </w:r>
            <w:r w:rsidR="00DA2518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AC7D1B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kolejne wnioski złożone zostaną, gdy przynajmniej 85% kwoty zawartej w poprzednich wnioskach</w:t>
            </w:r>
            <w:r w:rsidR="00C8622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C8622E">
              <w:rPr>
                <w:rFonts w:asciiTheme="minorHAnsi" w:hAnsiTheme="minorHAnsi" w:cstheme="minorHAnsi"/>
                <w:b w:val="0"/>
                <w:sz w:val="22"/>
                <w:szCs w:val="22"/>
              </w:rPr>
              <w:t>uzupełnione</w:t>
            </w:r>
            <w:r w:rsidR="00C8622E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 Wkład Pośrednika Finansowego</w:t>
            </w:r>
            <w:r w:rsidR="00C8622E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C8622E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zostanie wypłac</w:t>
            </w:r>
            <w:r w:rsidR="003F549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one na rzecz </w:t>
            </w:r>
            <w:r w:rsidR="003F549C" w:rsidRPr="00AC7D1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</w:t>
            </w:r>
            <w:r w:rsidR="00DA2518" w:rsidRPr="00AC7D1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statecznych Odbiorców, zgodnie z</w:t>
            </w:r>
            <w:r w:rsidR="00DA2518" w:rsidRPr="00AC7D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zasadami określonymi w Umowie</w:t>
            </w:r>
            <w:r w:rsidR="00DA2518" w:rsidRPr="00AC7D1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</w:p>
          <w:p w:rsidR="008B0263" w:rsidRPr="00AC7D1B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C7D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uzasadnionych przypadkach, wskaźnik stopnia wykorzystania otrzymanych transz, </w:t>
            </w:r>
            <w:r w:rsidR="00C8622E" w:rsidRPr="00AC7D1B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AC7D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 którym mowa powyżej, uprawniający do złożenia kolejnego Wniosku może zostać obniżony przez Menadżera na wniosek Pośrednika Finansowego, przy czym wniosek ten nie wiąże Menadżera.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wnioskowanego do wniesienia Wkładu Funduszu Funduszy zawarta w każdym Wniosku stanowi co do zasady:</w:t>
            </w:r>
          </w:p>
          <w:p w:rsidR="008B0263" w:rsidRPr="00E75CA8" w:rsidRDefault="008B0263" w:rsidP="008B0263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25 % całości Wkładu Funduszu Funduszy przewidzianego </w:t>
            </w: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 wniesienia do danego Instrumentu Finansowego, bez Prawa Opcji, o którym mowa w § 14 Umowy,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25 % całości Wkładu Funduszu </w:t>
            </w:r>
            <w:r w:rsidR="00DA2518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Funduszy przewidzianego</w:t>
            </w: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 wniesienia do danego Instrumentu Finansowego na podstawie Prawa Opcji, o którym mowa w § 14 Umowy,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 uprzednim skorzystaniu przez Menadżera z tego prawa.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stwierdzenia braków lub błędów formalnych, merytorycznych bądź rachunkowych w złożonym Wniosku, Menadżer wzywa Pośrednika Finansowego do poprawienia lub uzupełnienia Wniosku we wskazanym terminie. </w:t>
            </w:r>
          </w:p>
          <w:p w:rsidR="008B0263" w:rsidRPr="00F31DEC" w:rsidRDefault="008B0263" w:rsidP="00F31DEC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Menadżer dokonuje weryfikacji poprawności przygotowanego Wniosku w oparciu o dane zamieszczone przez Pośrednika Finansowego w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Umowie Operacyjnej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uzasadnionych 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sytuacjach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może wezwać Pośrednika Finansowego</w:t>
            </w:r>
            <w:r w:rsidR="0052384F"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do dostarczenia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dodatkowych</w:t>
            </w:r>
            <w:r w:rsidR="003A770F"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dokumentów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formie oryginałów lub zeskanowanych oryginałów dokumentów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7412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W przypadku, gdy Menadżer wzywa Pośrednika Finansowego do poprawienia lub uzupełnienia Wniosku we wskazanym terminie, wezwanie wskazujące zakres zmian lub poprawek oraz termin na ich dokonanie jest przekazyw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ane do Pośrednika Finansowego z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wykorzystaniem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poczty elektronicznej, </w:t>
            </w:r>
            <w:r w:rsidR="00E74120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ewentualnie w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wersji papierowej</w:t>
            </w:r>
            <w:r w:rsidRPr="00D20114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="00AE5842">
              <w:rPr>
                <w:rFonts w:asciiTheme="minorHAnsi" w:hAnsiTheme="minorHAnsi" w:cstheme="minorHAnsi"/>
                <w:b w:val="0"/>
                <w:sz w:val="22"/>
                <w:szCs w:val="22"/>
              </w:rPr>
              <w:t>na adres wskazany w Umowie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C1C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jako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adres do powiadomień. Termin na dokonanie przez Menadżera wypłaty Transzy liczony jest od dnia złożenia przez Pośrednika Finansowego poprawionego lub uzupełnionego Wniosku.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Menadżer dokonuje wypłaty Transzy z Rachunku Bankowego Funduszu Funduszy na odpowiedni Rachunek Bankowy z Wkładem z Funduszu Funduszy Pośrednika Finansowego w terminie 5 Dni Roboczych od dnia zaakceptowania poprawnie wypełnionego Wniosku.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może po raz ostatni złożyć Wniosek </w:t>
            </w:r>
            <w:r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na </w:t>
            </w:r>
            <w:r w:rsidR="002761ED"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90</w:t>
            </w:r>
            <w:r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Dni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2761E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kalendarzowych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przed ostatnim dniem Okresu Budowy Portfela.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braku wystarczających środków na Rachunku Bankowym Funduszu Funduszy, Transza zostanie przekazana Pośrednikowi Finansowemu niezwłocznie po wpływie odpowiednich środków na Rachunek Bankowy Funduszu Funduszy.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sytuacji przejściowego braku wystarczających środków na Rachunku Bankowym Funduszu Funduszy dopuszcza się możliwość wypłaty Transzy w częściach. </w:t>
            </w:r>
          </w:p>
          <w:p w:rsidR="008B0263" w:rsidRPr="00D20114" w:rsidRDefault="008B0263" w:rsidP="00CE0CD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zastrzega, że może wstrzymać przekazywanie Transzy w przypadku realizowania Umowy w sposób niezgodny z jej postanowieniami.</w:t>
            </w: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8B0263" w:rsidP="008B0263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Wypłata Pożyczek</w:t>
            </w:r>
          </w:p>
          <w:p w:rsidR="00C117E2" w:rsidRPr="00707369" w:rsidRDefault="00C117E2" w:rsidP="008B02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4400D3" w:rsidRDefault="00122598" w:rsidP="008B026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W celu wypłaty Pożyczki</w:t>
            </w:r>
            <w:r w:rsidR="00546DAB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(transzy pożyczki)</w:t>
            </w:r>
            <w:r w:rsidR="008B0263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Pośrednik Finan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sowy przekazuje na odpowiedni </w:t>
            </w:r>
            <w:r w:rsidR="008B0263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rachunek bankowy (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Wypłat Pożyczek</w:t>
            </w:r>
            <w:r w:rsidR="008B0263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):</w:t>
            </w:r>
          </w:p>
          <w:p w:rsidR="008B0263" w:rsidRPr="004400D3" w:rsidRDefault="008B0263" w:rsidP="008B0263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środki powierzone 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przez Menadżera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Funduszu Funduszy z</w:t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Rachunku Bankowego </w:t>
            </w:r>
            <w:r w:rsidR="00E74120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Wkładem Funduszu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Funduszy</w:t>
            </w:r>
            <w:r w:rsidR="00B92444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4400D3" w:rsidRDefault="00122598" w:rsidP="008B0263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środki </w:t>
            </w:r>
            <w:r w:rsidR="008B0263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Wkład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="008B0263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Pośrednika Finansowego z Rachunku Bankowego Własnego. </w:t>
            </w:r>
          </w:p>
          <w:p w:rsidR="008B0263" w:rsidRPr="004400D3" w:rsidRDefault="008B0263" w:rsidP="008B026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Poży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czka (transza pożyczki), zawierająca</w:t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odpowiedni %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Wkład</w:t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Funduszu Funduszy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(zgodny z Biznes Planem)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oraz Wkład</w:t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ośrednika Finansowego, wypłacana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jest na rzecz Ostatecznego Odbiorcy z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rachunku bankowego (Wypłat Pożyczek).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Rachunek bankowy Wypłat Pożyczek jest rachunkiem przepływowym, na którym, co do zasady, środki finansowe nie powinny być przechowywane.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Pożyczka (transza pożyczki) wypłacona zostanie przez P</w:t>
            </w:r>
            <w:r w:rsidR="0012259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ośrednika Finansowego na rzecz Ostatecznego 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dbiorcy po: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ustanowieniu adekwatnych form zabezpieczeń</w:t>
            </w:r>
            <w:r w:rsidR="0012259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standardowo stosowanyc</w:t>
            </w:r>
            <w:r w:rsidR="00644B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h przez Pośrednika Finansowego</w:t>
            </w:r>
            <w:r w:rsidR="0012259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="00644B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przewidziany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ch w umowie udzielonej pożyczki,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przedstawieniu przez Ostatecznego Odbiorcę oryginałów faktur/rachunków/innych dokumentów o równoważnej wartości dowodowej potwierdzających dokonanie zakupów zgodnych z celem określonym w umowie Pożyczki w formie;</w:t>
            </w:r>
          </w:p>
          <w:p w:rsidR="008B0263" w:rsidRPr="00D20114" w:rsidRDefault="008B0263" w:rsidP="008B0263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- zapłaty </w:t>
            </w:r>
            <w:r w:rsidR="00CC7D7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przez Pośrednika Finansowego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za </w:t>
            </w:r>
            <w:r w:rsidR="00122598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zobowiązanie Ostatecznego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Odbior</w:t>
            </w:r>
            <w:r w:rsidR="00CC7D7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cy na rachunek wystawcy faktury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/rachunku/innego dokumentu</w:t>
            </w:r>
            <w:r w:rsidR="00E74120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 równoważnej wartości dowodowej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</w:p>
          <w:p w:rsidR="008B0263" w:rsidRPr="00D20114" w:rsidRDefault="008B0263" w:rsidP="008B0263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- refundacji </w:t>
            </w:r>
            <w:r w:rsidR="00CC7D7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środków </w:t>
            </w:r>
            <w:r w:rsidR="0012259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na konto Ostatecznego Odbiorcy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 przypadku dostarczenia przez Ostatecznego </w:t>
            </w:r>
            <w:r w:rsidR="00122598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Odbiorcę oryginału</w:t>
            </w:r>
            <w:r w:rsidR="00AF708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opłaconej </w:t>
            </w:r>
            <w:r w:rsidR="00546DAB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faktury</w:t>
            </w:r>
            <w:r w:rsidR="00CC7D7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/rachunku/innego dokumentu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wraz z dowodem zapłaty. </w:t>
            </w:r>
          </w:p>
          <w:p w:rsidR="008B0263" w:rsidRDefault="008B0263" w:rsidP="005539F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dokonując wypłaty pożyczki na rzecz Ostatecznego Odbiorcy zobowiązany jest do prawidłowego wypełnienia przelewu. W tytule przelewu Pośrednik zobowiązany jest podać 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skróconą nazwę </w:t>
            </w:r>
            <w:r w:rsidR="00F664C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podmiotu,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któremu udzielono pożyczki,</w:t>
            </w:r>
            <w:r w:rsidR="00546DAB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numer Umowy pożyczki oraz 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czego dotyczy przelew, np. „MAXDOM, pożyczka nr 123/PBS…, za f-</w:t>
            </w:r>
            <w:proofErr w:type="spellStart"/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rę</w:t>
            </w:r>
            <w:proofErr w:type="spellEnd"/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lastRenderedPageBreak/>
              <w:t>nr 123/G/02017”</w:t>
            </w:r>
            <w:r w:rsidR="00520D2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w przypadku refundacji do Ostatecznego Odbiorcy – MAXDOM, pożyczka nr 123/PBS…., refundacja.</w:t>
            </w:r>
          </w:p>
          <w:p w:rsidR="00546DAB" w:rsidRDefault="009E6F42" w:rsidP="009E6F42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dokonując wypłaty pożyczki zobowiązany jest do umieszczenia na wszystkich oryginałach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faktur/rachunków/innych dokumentów o równoważnej wartości dowodowej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Ostatecznego Odbiorcy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będących podstawą do uruchomienia pożyczki,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pieczęci z opisem „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Wydatek poniesiony ze </w:t>
            </w:r>
            <w:r w:rsidR="00E91715"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środków RPO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WK-P 2014-2020 w ramach Umowy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Pożyczki 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nr 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</w:t>
            </w:r>
            <w:r w:rsidR="00E9171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(nr umowy)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zawartej z Pośrednikiem Finansowym 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– ….</w:t>
            </w:r>
            <w:r w:rsidR="00E9171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(nazwa Pośrednika)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”.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91715" w:rsidRDefault="009E6F42" w:rsidP="00E9171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zobowiązany jest do przechowywania kopi dokumentów o których mowa w pkt.6 powyżej celem udokumentowania prawidłowości wydatkowania środków. Kopie dokumentów powinny zostać sporządzone po 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opieczętowaniu oryginałów dokumentów opisem o którym mowa w pkt. 6 powyżej.</w:t>
            </w:r>
          </w:p>
          <w:p w:rsidR="00E91715" w:rsidRPr="00680A15" w:rsidRDefault="00E91715" w:rsidP="00680A1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Pośrednik Finansowy</w:t>
            </w:r>
            <w:r w:rsidR="00F664C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F664C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dla każdej pożyczki, </w:t>
            </w:r>
            <w:r w:rsidR="00F664C7"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zobowiązany</w:t>
            </w: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jest do sporządzenia</w:t>
            </w:r>
            <w:r w:rsidR="00F664C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i prowadzenia </w:t>
            </w:r>
            <w:r w:rsidR="00F664C7"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formie elektronicznej</w:t>
            </w:r>
            <w:r w:rsid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(</w:t>
            </w:r>
            <w:r w:rsidR="006C036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arkuszu kalkulacyjnym zgodnym z MS Excel</w:t>
            </w:r>
            <w:r w:rsid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)</w:t>
            </w:r>
            <w:r w:rsidR="00F664C7"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wykazu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faktur/rachunków/innych dokumentów </w:t>
            </w:r>
            <w:r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 równoważnej wartości dowodowej, będących podstawą do uruchomienia</w:t>
            </w:r>
            <w:r w:rsidR="00F664C7"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środków pożyczki. Wykaz zawiera</w:t>
            </w:r>
            <w:r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F664C7"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co najmniej: </w:t>
            </w:r>
            <w:r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wystawcę dokumentu, rodzaj przedłożonego dokumentu, numer przedłożonego dokumentu, datę wystawienia dokumentu, metodę płatności, datę </w:t>
            </w:r>
            <w:r w:rsid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zapłaty</w:t>
            </w:r>
            <w:r w:rsidR="00F664C7"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kwotę dokumentu brutto i netto, kwotę płatności</w:t>
            </w:r>
            <w:r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oraz informację </w:t>
            </w:r>
            <w:r w:rsidR="00F664C7"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jakiego zakupu</w:t>
            </w:r>
            <w:r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dotyczy dokument</w:t>
            </w:r>
            <w:r w:rsidR="00F664C7"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26230A" w:rsidP="0026230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Zwrot środków z Inwestycji – Zasoby Zwrócone</w:t>
            </w:r>
          </w:p>
          <w:p w:rsidR="00C117E2" w:rsidRPr="00707369" w:rsidRDefault="00C117E2" w:rsidP="002623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Zwrot środków Pożyczek przez Ostatecznych Odbiorców odbywa się na Rachu</w:t>
            </w:r>
            <w:r w:rsidR="0034304B">
              <w:rPr>
                <w:rFonts w:asciiTheme="minorHAnsi" w:hAnsiTheme="minorHAnsi" w:cstheme="minorHAnsi"/>
                <w:b w:val="0"/>
                <w:sz w:val="22"/>
                <w:szCs w:val="22"/>
              </w:rPr>
              <w:t>nek Bankowy ,,Zwrotów  Pożyczek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‘’</w:t>
            </w:r>
            <w:r w:rsidR="0034304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26230A" w:rsidRPr="00D20114" w:rsidRDefault="00620DAD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Rachunek B</w:t>
            </w:r>
            <w:r w:rsidR="0026230A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</w:t>
            </w:r>
            <w:r w:rsidR="0026230A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kowy Zwrotów Pożyczek jest rachunkiem </w:t>
            </w:r>
            <w:r w:rsidR="00C408CB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przepływowym,</w:t>
            </w:r>
            <w:r w:rsidR="0026230A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na którym co do zasady środki finansowe nie powinny być przechowywane.</w:t>
            </w:r>
          </w:p>
          <w:p w:rsidR="0026230A" w:rsidRPr="00E75CA8" w:rsidRDefault="0026230A" w:rsidP="008B7D59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</w:t>
            </w:r>
            <w:r w:rsidR="00CC7D7A">
              <w:rPr>
                <w:rFonts w:asciiTheme="minorHAnsi" w:hAnsiTheme="minorHAnsi" w:cstheme="minorHAnsi"/>
                <w:b w:val="0"/>
                <w:sz w:val="22"/>
                <w:szCs w:val="22"/>
              </w:rPr>
              <w:t>niezwłocznie przekazuje zwrócone środki z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pożyczek</w:t>
            </w:r>
            <w:r w:rsidR="00CC7D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36EE1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="008F572D">
              <w:rPr>
                <w:rFonts w:asciiTheme="minorHAnsi" w:hAnsiTheme="minorHAnsi" w:cstheme="minorHAnsi"/>
                <w:b w:val="0"/>
                <w:sz w:val="22"/>
                <w:szCs w:val="22"/>
              </w:rPr>
              <w:t>w udziale FF) na R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achun</w:t>
            </w:r>
            <w:r w:rsidR="008F572D">
              <w:rPr>
                <w:rFonts w:asciiTheme="minorHAnsi" w:hAnsiTheme="minorHAnsi" w:cstheme="minorHAnsi"/>
                <w:b w:val="0"/>
                <w:sz w:val="22"/>
                <w:szCs w:val="22"/>
              </w:rPr>
              <w:t>ek B</w:t>
            </w:r>
            <w:bookmarkStart w:id="0" w:name="_GoBack"/>
            <w:bookmarkEnd w:id="0"/>
            <w:r w:rsidR="00136EE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ankowy </w:t>
            </w:r>
            <w:r w:rsidR="00295DFB">
              <w:rPr>
                <w:rFonts w:asciiTheme="minorHAnsi" w:hAnsiTheme="minorHAnsi" w:cstheme="minorHAnsi"/>
                <w:b w:val="0"/>
                <w:sz w:val="22"/>
                <w:szCs w:val="22"/>
              </w:rPr>
              <w:t>z Zasobami Zwróconymi</w:t>
            </w:r>
            <w:r w:rsidR="00136EE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pod</w:t>
            </w:r>
            <w:r w:rsidR="008B7D59">
              <w:rPr>
                <w:rFonts w:asciiTheme="minorHAnsi" w:hAnsiTheme="minorHAnsi" w:cstheme="minorHAnsi"/>
                <w:b w:val="0"/>
                <w:sz w:val="22"/>
                <w:szCs w:val="22"/>
              </w:rPr>
              <w:t>ział na część FF i PF dokonywany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jest </w:t>
            </w:r>
            <w:r w:rsidR="00CC7D7A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na poziomie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spła</w:t>
            </w:r>
            <w:r w:rsidR="0034304B">
              <w:rPr>
                <w:rFonts w:asciiTheme="minorHAnsi" w:hAnsiTheme="minorHAnsi" w:cstheme="minorHAnsi"/>
                <w:b w:val="0"/>
                <w:sz w:val="22"/>
                <w:szCs w:val="22"/>
              </w:rPr>
              <w:t>ty każdej jednostkowej pożyczki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34304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8B7D59" w:rsidRPr="008B7D59"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  <w:t xml:space="preserve"> 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Każdą</w:t>
            </w:r>
            <w:r w:rsidR="008B7D59" w:rsidRPr="00E75CA8">
              <w:rPr>
                <w:b w:val="0"/>
                <w:color w:val="auto"/>
              </w:rPr>
              <w:t xml:space="preserve"> 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wpłatę dokonaną przez Ostatecznego Odbiorcę zalicza się w pierwszej kolejności na pokrycie kosztów sądowych, kosztów egzekucji, kosztów korespondencji do dłużnika, odsetek naliczonych od kwot objętych tytułem egzekucyjnym, odsetek od zadłużenia przeterminowanego, pozostałych niespłaconych odsetek, należnych opłat</w:t>
            </w:r>
            <w:r w:rsidR="00F34687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i innych kosztów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PF</w:t>
            </w:r>
            <w:r w:rsidR="00F34687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kosztów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zastępstwa procesowego, niespłaco</w:t>
            </w:r>
            <w:r w:rsidR="00F34687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nego (wymagalnego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) kapitał</w:t>
            </w:r>
            <w:r w:rsidR="00F34687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pożyczki</w:t>
            </w:r>
            <w:r w:rsidR="00F34687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proporcjonalnie do udziałów wkładu FF i PF w daną pożyczkę.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Zwrot środków z </w:t>
            </w:r>
            <w:r w:rsidR="00D02D94">
              <w:rPr>
                <w:rFonts w:asciiTheme="minorHAnsi" w:hAnsiTheme="minorHAnsi" w:cstheme="minorHAnsi"/>
                <w:b w:val="0"/>
                <w:sz w:val="22"/>
                <w:szCs w:val="22"/>
              </w:rPr>
              <w:t>udzielonych pożyczek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przez Pośrednika Finansowego, w tym zwroty kapitału, odsetki i wszelkie inne przychody wygenerowane przez Inwestycję, a także wszelkie przychody wygenerowane na tych środkach na poziomie Pośrednika Finansowego stanowiące Zasoby Zwrócone, odbywa się w okresach kwartalnych. Pośrednik Finansowy przekazuje Zasoby Zwrócone na odpowiedni Rachunek Bankowy Funduszu Funduszy.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Numer </w:t>
            </w:r>
            <w:r w:rsidR="00620DAD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Rachunku Bankowego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Menadżera Funduszu Funduszy, na który będą przekazywane Zasoby Zwrócone zawarty jest w Umowie Operacyjnej</w:t>
            </w:r>
            <w:r w:rsidR="00620DA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26230A" w:rsidRPr="00D02D9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Zwrot Zasobów Zwróconych do Menadżera Funduszu </w:t>
            </w:r>
            <w:r w:rsidR="00620DAD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Funduszy będzie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następować w terminie do 5 Dni Roboczych po przekazaniu przez Pośrednika Finansowego do MFF 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sprawozdań kwartalnych</w:t>
            </w:r>
            <w:r w:rsidR="00620DAD"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:rsidR="0026230A" w:rsidRPr="00D02D9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przekazując Zasoby Zwrócone zobowiązany jest do prawidłowego </w:t>
            </w:r>
            <w:r w:rsidR="00620DAD"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wypełnienia przelewu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620DAD"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podając prawidłowe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dane. W tytule przelewu Pośrednik zobowiązany jest podać nr Umowy Operacyjnej oraz kwotę zasobów zw</w:t>
            </w:r>
            <w:r w:rsidR="00014CFB"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racanych w podziale na kapitał, odsetki od pożyczek, odsetki od lokat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oraz wszystkie inne przychody wygenerowane przez inwestycję.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okresach kwartalnych, w których u Pośrednika Finansowego nie wystąpiły Zasoby Zwrócone, Pośrednik Finansowy w przekazanym po zakończeniu danego kwartału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Sprawozdaniu, informuje Menadżera o niewystąpieniu Zasobów Zwróconych w danym kwartale.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Kwota płatności przekazywanej na Rachunek Bankowy Funduszu Funduszy przez Pośrednika Finansowego jest równa łącznej kwocie Zasobów Zwróconych, które wystąpiły w danym kwartale, zgodnie z prowadzoną przez Pośrednika Finansowego ewidencją spłat Pożyczek oraz zgodnie z informacją zawartą w Sprawozdaniach miesięcznych i kwartalnych.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Wszelkie straty z tytułu udzielonych Pożyczek (Szkodowość) ponoszone są przez Menadżera i Pośrednika Finansowego proporcjonalnie do wniesionych przez nich wkładów do Instrumentu Finansowego, z zastrzeżeniem pkt.11. poniżej.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Kwoty odzyskane w wyniku dochodzenia przez Pośrednika Finansowego, należności od Ostatecznych Odbiorców z tytułu udzielonych Pożyczek obniżają straty Menadżera </w:t>
            </w:r>
            <w:r w:rsidR="00680A15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 Pośrednika Finansowego proporcjonalnie do wniesionych wkładów.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Kwoty netto odzyskane w wyniku dochodzenia przez Pośrednika Finansowego należności przeciwko Ostatecznym Odbiorcom po zakończeniu Okresu Wygaszania Portfela, stanowiące Zasoby Zwrócone, przekazywane są Menadżerowi przez Pośrednika Finansowego w okresach miesięcznych, w terminie do [15] Dni Roboczych po zakończeniu miesiąca.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przekroczenia pułapu Szkodowości: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wzywa Pośrednika Finansowego w formie pisemnej do pokrycia różnicy pomiędzy Szkodowością a pułapem Szkodowości z</w:t>
            </w:r>
            <w:r w:rsid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14CFB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środków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własnych Pośrednika Finansowego;</w:t>
            </w:r>
          </w:p>
          <w:p w:rsidR="0026230A" w:rsidRDefault="0026230A" w:rsidP="0026230A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pokrywa różnicę pomiędzy Szkodowością a pułapem Szkodowości z własnych środków w terminie </w:t>
            </w:r>
            <w:r w:rsid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20 Dni Roboczych od ot</w:t>
            </w:r>
            <w:r w:rsidR="005C1F0E">
              <w:rPr>
                <w:rFonts w:asciiTheme="minorHAnsi" w:hAnsiTheme="minorHAnsi" w:cstheme="minorHAnsi"/>
                <w:b w:val="0"/>
                <w:sz w:val="22"/>
                <w:szCs w:val="22"/>
              </w:rPr>
              <w:t>rzymania wezwania od Menadżera,</w:t>
            </w:r>
          </w:p>
          <w:p w:rsidR="005C1F0E" w:rsidRPr="00D20114" w:rsidRDefault="0065218E" w:rsidP="0065218E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Pożyczki, których niespłacona kwota stanowi różnicę pomiędzy Szkodowością a pułapem Szkodowości, zostaną określone wg daty zawarcia Umowy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Pożyczki - </w:t>
            </w: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od zawartej najpóźniej do zawartej najwcześniej.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 przypadku Pożyczek</w:t>
            </w: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których kwota zaległości </w:t>
            </w: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>zostanie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zaliczona</w:t>
            </w: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zarówno do pułapu Szkodowości jak i przekroczenia tego pułapu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Pośrednik Finansowy będzie zobowiązany do wskazania</w:t>
            </w: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poszczególnych kwot zaliczanych do pułapu Szkodowości jak i jego przekroczenia.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przypadku, o którym mowa w </w:t>
            </w:r>
            <w:r w:rsidR="00680A15">
              <w:rPr>
                <w:rFonts w:asciiTheme="minorHAnsi" w:hAnsiTheme="minorHAnsi" w:cstheme="minorHAnsi"/>
                <w:b w:val="0"/>
                <w:sz w:val="22"/>
                <w:szCs w:val="22"/>
              </w:rPr>
              <w:t>pkt.13 2)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powyżej, Pośrednik Finansowy dokonuje wpłat kwot netto odzyskanych w wyniku dochodzenia przez Pośrednika Finansowego należności przeciwko Ostatecznym Odbiorcom z tytułu udzielonych Pożyczek tylko w przypadku, gdy łączna wartość kwot odzyskanych w procesie windykacji przekroczy kwotę wpłaconą przez Pośrednika Finansowego na rzecz Menadżera Funduszu Funduszy z tytułu przekroczenia pułapu Szkodowości. Wówczas wysokość kwoty należnej Menadżerowi stanowi różnica między łączną wartością kwot odzyskanych w procesie windykacji, a kwotą wpłaconą przez Pośrednika Finansowego z tytułu przekroczenia pułapu Szkodowości, w części proporcjonalnej do Udziału Menadżera Funduszu Funduszy w Pożyczkach.</w:t>
            </w:r>
          </w:p>
          <w:p w:rsidR="008B0263" w:rsidRPr="00D20114" w:rsidRDefault="008B0263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E2" w:rsidRPr="00707369" w:rsidRDefault="0026230A" w:rsidP="00C117E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707369">
              <w:rPr>
                <w:rFonts w:asciiTheme="minorHAnsi" w:hAnsiTheme="minorHAnsi" w:cstheme="minorHAnsi"/>
                <w:u w:val="single"/>
              </w:rPr>
              <w:lastRenderedPageBreak/>
              <w:t>Przychody Funduszu Funduszy</w:t>
            </w: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0A" w:rsidRPr="00014CFB" w:rsidRDefault="0026230A" w:rsidP="00014CF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</w:t>
            </w:r>
            <w:r w:rsidR="00825FE5">
              <w:rPr>
                <w:rFonts w:asciiTheme="minorHAnsi" w:hAnsiTheme="minorHAnsi" w:cstheme="minorHAnsi"/>
                <w:b w:val="0"/>
                <w:sz w:val="22"/>
                <w:szCs w:val="22"/>
              </w:rPr>
              <w:t>lokuje wolne</w:t>
            </w:r>
            <w:r w:rsidR="0089736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środki będące Wkładem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Menadżera Funduszu Funduszy </w:t>
            </w:r>
            <w:r w:rsidR="00825FE5">
              <w:rPr>
                <w:rFonts w:asciiTheme="minorHAnsi" w:hAnsiTheme="minorHAnsi" w:cstheme="minorHAnsi"/>
                <w:b w:val="0"/>
                <w:sz w:val="22"/>
                <w:szCs w:val="22"/>
              </w:rPr>
              <w:t>przekazując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środki z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rachunku </w:t>
            </w:r>
            <w:r w:rsidR="001C2BC4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 Wkładem Funduszu 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Funduszy na ,,</w:t>
            </w:r>
            <w:r w:rsidR="006F37B2">
              <w:rPr>
                <w:rFonts w:asciiTheme="minorHAnsi" w:hAnsiTheme="minorHAnsi" w:cstheme="minorHAnsi"/>
                <w:b w:val="0"/>
                <w:sz w:val="22"/>
                <w:szCs w:val="22"/>
              </w:rPr>
              <w:t>R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achunek </w:t>
            </w:r>
            <w:r w:rsidR="006F37B2"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okat</w:t>
            </w:r>
            <w:r w:rsid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”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02D94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z którego zakładany jest depozyt bankowy.</w:t>
            </w:r>
          </w:p>
          <w:p w:rsidR="001C2BC4" w:rsidRPr="00014CFB" w:rsidRDefault="001C2BC4" w:rsidP="0080260E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zobligowany </w:t>
            </w:r>
            <w:r w:rsidR="00371A47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jest 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do lokowania wkładu Menadżera Funduszu Funduszy w sposób zapewniający zwrot ulokowanego kapitału wraz z odsetkami</w:t>
            </w:r>
            <w:r w:rsidR="006F3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na ,, Rachunek L</w:t>
            </w:r>
            <w:r w:rsidR="00212358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okat’’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dniu zapadalności</w:t>
            </w:r>
            <w:r w:rsidR="00212358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lokaty.</w:t>
            </w:r>
            <w:r w:rsidR="00371A4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0260E" w:rsidRPr="00014CFB" w:rsidRDefault="0080260E" w:rsidP="0080260E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Rachunek </w:t>
            </w:r>
            <w:r w:rsidR="006F37B2"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okat jest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rachunkiem przepł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ywowym, na którym, co do zasady</w:t>
            </w:r>
            <w:r w:rsid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środki finansowe nie powinny być przechowywane. </w:t>
            </w:r>
          </w:p>
          <w:p w:rsidR="004A193A" w:rsidRPr="007A1D8A" w:rsidRDefault="00AA4032" w:rsidP="0080260E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Po zapadnięciu lokaty </w:t>
            </w:r>
            <w:r w:rsidR="00D02D94">
              <w:rPr>
                <w:rFonts w:asciiTheme="minorHAnsi" w:hAnsiTheme="minorHAnsi" w:cstheme="minorHAnsi"/>
                <w:b w:val="0"/>
                <w:sz w:val="22"/>
                <w:szCs w:val="22"/>
              </w:rPr>
              <w:t>kapitał będący</w:t>
            </w:r>
            <w:r w:rsidR="004A193A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Wkładem Men</w:t>
            </w:r>
            <w:r w:rsidR="00D02D94">
              <w:rPr>
                <w:rFonts w:asciiTheme="minorHAnsi" w:hAnsiTheme="minorHAnsi" w:cstheme="minorHAnsi"/>
                <w:b w:val="0"/>
                <w:sz w:val="22"/>
                <w:szCs w:val="22"/>
              </w:rPr>
              <w:t>adżera Funduszu Funduszy zostaje zwrócony</w:t>
            </w:r>
            <w:r w:rsidR="004A193A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 rachunku lokat na Rachunek Wkładu Funduszu Funduszy.</w:t>
            </w:r>
          </w:p>
          <w:p w:rsidR="009676CE" w:rsidRDefault="009676CE" w:rsidP="008771E0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dsetki z tytułu lokowania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środków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722AC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zostają 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zwrócone</w:t>
            </w:r>
            <w:r w:rsidR="00C1053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66F75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bezpośrednio</w:t>
            </w:r>
            <w:r w:rsidR="000722AC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40121F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="00FD6852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rachunku lokat </w:t>
            </w:r>
            <w:r w:rsidR="00366F75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na rachunek Menadżera Fund</w:t>
            </w:r>
            <w:r w:rsidR="00DC551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uszu Funduszy wskazany w Umowie </w:t>
            </w:r>
            <w:r w:rsidR="00366F75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Operacyjnej</w:t>
            </w:r>
            <w:r w:rsidR="008771E0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:rsidR="009676CE" w:rsidRDefault="009676CE" w:rsidP="008771E0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Zwrot środków określony w pkt. 4 i 5 odbywa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się niezwłocznie, po </w:t>
            </w:r>
            <w:r w:rsidRPr="009676CE">
              <w:rPr>
                <w:rFonts w:asciiTheme="minorHAnsi" w:hAnsiTheme="minorHAnsi" w:cstheme="minorHAnsi"/>
                <w:b w:val="0"/>
                <w:sz w:val="22"/>
                <w:szCs w:val="22"/>
              </w:rPr>
              <w:t>zapadnięciu lokaty.</w:t>
            </w:r>
          </w:p>
          <w:p w:rsidR="00DC5513" w:rsidRDefault="009676CE" w:rsidP="003D64FD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Przychody ze środków Wkładu Menadżera Funduszu Funduszy, w szczególności odsetki </w:t>
            </w:r>
            <w:r w:rsidR="00DC551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 tytułu lokowania środków, odsetki 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od oprocentowanego rachunku bankowego na którym znajdował się wkład MFF oraz</w:t>
            </w:r>
            <w:r w:rsidR="005408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wszelkie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inne przychody, zostają bezpośrednio zwrócone na rachunek Menadżera Funduszu Funduszy wskazany w Umowie Operacyjnej. </w:t>
            </w:r>
          </w:p>
          <w:p w:rsidR="00D02D94" w:rsidRDefault="00D02D94" w:rsidP="00D02D94">
            <w:pPr>
              <w:pStyle w:val="Default"/>
              <w:ind w:left="71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02D94" w:rsidRDefault="00D02D94" w:rsidP="00D02D94">
            <w:pPr>
              <w:pStyle w:val="Default"/>
              <w:ind w:left="71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02D94" w:rsidRPr="003D64FD" w:rsidRDefault="00D02D94" w:rsidP="00D02D94">
            <w:pPr>
              <w:pStyle w:val="Default"/>
              <w:ind w:left="71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26230A" w:rsidP="0026230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Niewykorzystany Wkład Funduszu Funduszy</w:t>
            </w:r>
          </w:p>
          <w:p w:rsidR="00C117E2" w:rsidRPr="00707369" w:rsidRDefault="00C117E2" w:rsidP="002623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0A" w:rsidRPr="0008728F" w:rsidRDefault="0026230A" w:rsidP="0026230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Środki niewykorzystane przez Ostatecznych Odbiorców zostają zwrócone na rachunek Wypłat Pożyczek.</w:t>
            </w:r>
          </w:p>
          <w:p w:rsidR="0026230A" w:rsidRPr="0008728F" w:rsidRDefault="0026230A" w:rsidP="0026230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zobowiązany jest </w:t>
            </w:r>
            <w:r w:rsidR="00910917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do niezwłocznego</w:t>
            </w: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przekazania </w:t>
            </w:r>
            <w:r w:rsidR="00910917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niewykorzystanych przez Ostatecznych Odbiorców środków</w:t>
            </w:r>
            <w:r w:rsidR="00DC551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 rachunku Wypłat Pożyczek</w:t>
            </w:r>
            <w:r w:rsidR="00910917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na rachunek z Wkładem Funduszu Funduszy (w udziale FF).</w:t>
            </w:r>
          </w:p>
          <w:p w:rsidR="0026230A" w:rsidRPr="0008728F" w:rsidRDefault="0026230A" w:rsidP="0026230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Okresie Budowy Portfela Pośrednik Finansowy przeznacza niewykorzystany wkład MFF na udzielenie Pożyczek na rzecz innych Ostatecznych Odbiorców. </w:t>
            </w:r>
          </w:p>
          <w:p w:rsidR="008B0263" w:rsidRPr="00910917" w:rsidRDefault="0026230A" w:rsidP="00CE0CD5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Po zakończeniu Okresu Budowy Portfela Pośrednik Finansowy zwraca niewykorzystany Wkład Funduszu Funduszy na odpowiedni Rach</w:t>
            </w:r>
            <w:r w:rsidR="0089736B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unek Bankowy Funduszu </w:t>
            </w:r>
            <w:r w:rsidR="00910917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Funduszy.</w:t>
            </w:r>
          </w:p>
        </w:tc>
      </w:tr>
      <w:tr w:rsidR="00CE0CD5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D5" w:rsidRPr="00707369" w:rsidRDefault="00CE0CD5" w:rsidP="00CE0CD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Zapłata kar umownych</w:t>
            </w:r>
          </w:p>
          <w:p w:rsidR="00CE0CD5" w:rsidRPr="00707369" w:rsidRDefault="00CE0CD5" w:rsidP="00CE0CD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D20114" w:rsidRDefault="0026230A" w:rsidP="0077187C">
            <w:pPr>
              <w:pStyle w:val="Akapitzlist"/>
              <w:numPr>
                <w:ilvl w:val="3"/>
                <w:numId w:val="10"/>
              </w:numPr>
              <w:ind w:left="709" w:hanging="283"/>
              <w:jc w:val="both"/>
              <w:rPr>
                <w:rFonts w:asciiTheme="minorHAnsi" w:hAnsiTheme="minorHAnsi" w:cstheme="minorHAnsi"/>
                <w:b w:val="0"/>
              </w:rPr>
            </w:pPr>
            <w:r w:rsidRPr="00D20114">
              <w:rPr>
                <w:rFonts w:asciiTheme="minorHAnsi" w:hAnsiTheme="minorHAnsi" w:cstheme="minorHAnsi"/>
                <w:b w:val="0"/>
              </w:rPr>
              <w:t xml:space="preserve">Kara umowna jest wpłacana przez Pośrednika Finansowego na wskazany przez Menadżera Rachunek Bankowy Funduszu Funduszy w terminie 30 dni kalendarzowych od dnia </w:t>
            </w:r>
            <w:r w:rsidR="003D64FD">
              <w:rPr>
                <w:rFonts w:asciiTheme="minorHAnsi" w:hAnsiTheme="minorHAnsi" w:cstheme="minorHAnsi"/>
                <w:b w:val="0"/>
              </w:rPr>
              <w:t xml:space="preserve">otrzymania </w:t>
            </w:r>
            <w:r w:rsidRPr="00D20114">
              <w:rPr>
                <w:rFonts w:asciiTheme="minorHAnsi" w:hAnsiTheme="minorHAnsi" w:cstheme="minorHAnsi"/>
                <w:b w:val="0"/>
              </w:rPr>
              <w:t>wezwania do zapłaty kary.</w:t>
            </w: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26230A" w:rsidP="0026230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Wypłata wynagrodzenia Pośrednika Finansowego</w:t>
            </w:r>
          </w:p>
          <w:p w:rsidR="00CE0CD5" w:rsidRPr="00707369" w:rsidRDefault="00CE0CD5" w:rsidP="002623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36B" w:rsidRPr="005A13FD" w:rsidRDefault="0089736B" w:rsidP="0089736B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Opłata za Zarządzanie wyliczana jest przez Menadżera Funduszu Funduszy na podstawie danych </w:t>
            </w:r>
            <w:r w:rsidR="00910917">
              <w:rPr>
                <w:rFonts w:asciiTheme="minorHAnsi" w:hAnsiTheme="minorHAnsi" w:cstheme="minorHAnsi"/>
                <w:b w:val="0"/>
                <w:sz w:val="22"/>
                <w:szCs w:val="22"/>
              </w:rPr>
              <w:t>przekazanych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przez Pośrednika Finansowego w Sprawozdaniach kwartalnych i zależna jest od postępu rzeczo</w:t>
            </w:r>
            <w:r w:rsidR="00910917">
              <w:rPr>
                <w:rFonts w:asciiTheme="minorHAnsi" w:hAnsiTheme="minorHAnsi" w:cstheme="minorHAnsi"/>
                <w:b w:val="0"/>
                <w:sz w:val="22"/>
                <w:szCs w:val="22"/>
              </w:rPr>
              <w:t>wo – finansowego realizacji Umowy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26230A" w:rsidRPr="00E75CA8" w:rsidRDefault="0026230A" w:rsidP="005A13FD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Opłata za Zarządzanie wypłacana jest Pośrednikowi Finansowemu w okresach kwartalnych, na podstawie wystawionej przez Pośrednika Finansowego </w:t>
            </w:r>
            <w:r w:rsidR="00910917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faktury</w:t>
            </w:r>
            <w:r w:rsidR="00052626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/wniosku o wypłatę wynagrodzenia</w:t>
            </w:r>
            <w:r w:rsidR="00910917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</w:t>
            </w: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wszystkie miesiące danego kwartału, w terminie 5 dni </w:t>
            </w:r>
            <w:r w:rsidR="00910917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Roboczych od</w:t>
            </w:r>
            <w:r w:rsidR="0089736B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dnia j</w:t>
            </w:r>
            <w:r w:rsidR="00FC3171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ej dostarczenia do Menadżera FF</w:t>
            </w:r>
            <w:r w:rsidR="00047991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E27844" w:rsidRPr="00E27844" w:rsidRDefault="0026230A" w:rsidP="009E6F42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Faktura</w:t>
            </w:r>
            <w:r w:rsidR="00E27844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/wniosek o wypłatę wynagrodzenia</w:t>
            </w:r>
            <w:r w:rsidR="0034304B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</w:t>
            </w:r>
            <w:r w:rsidR="00FC3171" w:rsidRPr="00E75C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171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której mowa w pkt</w:t>
            </w:r>
            <w:r w:rsidR="00FC3171"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. 2</w:t>
            </w:r>
            <w:r w:rsidR="0034304B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FC3171"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wystawiana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jest przez Pośrednika Finansowego, po zatwierdzeniu Sprawozdania Kwartalnego pr</w:t>
            </w:r>
            <w:r w:rsidR="0089736B"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zez Menadżera Funduszu Funduszy</w:t>
            </w:r>
            <w:r w:rsidR="003764E4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89736B"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26230A" w:rsidRPr="005A13FD" w:rsidRDefault="0026230A" w:rsidP="009E6F42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przypadku, gdy Opłata za Zarządzanie zostanie wypłacona Pośrednikowi Finansowemu w sposób nienależny, w szczególności w związku z: 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wypłatą Wkładu Funduszu Funduszy w sposób niezgodny z postanowieniami Umowy,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niewykorzystaniem w części lub w całości Pożyczki przez Ostatecznego Odbiorcę na cele określone w Umowie Pożyczki, </w:t>
            </w:r>
          </w:p>
          <w:p w:rsidR="0026230A" w:rsidRPr="005A13FD" w:rsidRDefault="0026230A" w:rsidP="0026230A">
            <w:pPr>
              <w:pStyle w:val="Default"/>
              <w:ind w:left="71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odpowiadająca nienależnej Opłacie za Zarządzanie podlega zwrotowi na Rachunki Bankowe Funduszu Funduszy, z których Pośrednik Finansowy otrzymał nienależną Opłatę za Zarządzanie, wraz z odsetkami jak dla zaległości podatkowych obliczanych od dnia wypłaty nienależnej Opłaty za Zarządzanie, do dnia jej zwrotu lub k</w:t>
            </w:r>
            <w:r w:rsidR="00E27844">
              <w:rPr>
                <w:rFonts w:asciiTheme="minorHAnsi" w:hAnsiTheme="minorHAnsi" w:cstheme="minorHAnsi"/>
                <w:b w:val="0"/>
                <w:sz w:val="22"/>
                <w:szCs w:val="22"/>
              </w:rPr>
              <w:t>ompensaty, o której mowa w pkt.7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. poniżej.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Menadżer może odstąpić od żądania zwrotu Opłaty za Zarządzanie z tytułu oko</w:t>
            </w:r>
            <w:r w:rsidR="00E27844">
              <w:rPr>
                <w:rFonts w:asciiTheme="minorHAnsi" w:hAnsiTheme="minorHAnsi" w:cstheme="minorHAnsi"/>
                <w:b w:val="0"/>
                <w:sz w:val="22"/>
                <w:szCs w:val="22"/>
              </w:rPr>
              <w:t>liczności o których mowa w pkt.4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.b) powyżej, które wystąpiły po zakończeniu Okresu Budowy Portfela, jeżeli Pośrednik Finansowy wykaże, iż niewykorzystanie przez Ostatecznego Odbiorcę części lub całości  Pożyczki na cele określone w Umowie Inwestycyjnej, nastąpiło wyłącznie z winy Ostatecznego Odbiorcy, a Pośrednik Finansowy dokonał wszelkich starań, aby środki Pożyczki zostały w pełni wykorzystane w sposób zgodny z Umową. 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zwraca nienależną Opłatę za Zarządzanie: 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niezwłocznie, po konsultacji z Menadżerem, lecz bez jego wezwania, w przypadku zidentyfikowania przez Pośrednika Finansowego nienależnie otrzymanej Opłaty za Zarządzanie,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w ciągu 3 Dni Roboczych od dnia wezwania Pośrednika Finansowego przez Menadżera, w przypadku zidentyfikowania przez Menadżera nienależnie wypłaconej Opłaty za Zarządzanie.</w:t>
            </w:r>
          </w:p>
          <w:p w:rsidR="008B0263" w:rsidRPr="005A13FD" w:rsidRDefault="0026230A" w:rsidP="0026230A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ma prawo do dokonania potrącenia wymagalnych zobowiązań Pośrednika Finansowego z tytułu Umowy z wszelkimi wymagalnymi zobowiązaniami Menadżera wobec Pośrednika Finansowego, w tym z tytułu należnej mu Opłaty za Zarządzanie.</w:t>
            </w: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26230A" w:rsidP="0026230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Postępowanie z należnościami przeterminowanymi</w:t>
            </w:r>
          </w:p>
          <w:p w:rsidR="00CE0CD5" w:rsidRPr="00707369" w:rsidRDefault="00CE0CD5" w:rsidP="002623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E2" w:rsidRPr="00D20114" w:rsidRDefault="00C117E2" w:rsidP="00C117E2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Menadżer monitoruje terminowość wpływu należności z tytułu: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Zasobów Zwróconych,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Przychodów Funduszu Funduszy,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kar umownych, </w:t>
            </w:r>
          </w:p>
          <w:p w:rsidR="00C117E2" w:rsidRPr="00D20114" w:rsidRDefault="00047991" w:rsidP="00C117E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nienależnej Opłaty za Zarzą</w:t>
            </w:r>
            <w:r w:rsidR="00C117E2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dzanie,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przekroczenia pułapu Szkodowości.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stwierdzenia braku wpływu należności, o których mowa w pkt.1, Menadżer wzywa w formie pisemnej Pośrednika Finansowego do spłaty należności, wyznaczając dodatkowy termin spłaty należności. Pośrednik Finansowy tym samym będzie zobowiązany do zwrotu należności wraz z odsetkami w wysokości określonej jak dla zaległości podatkowych.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Odsetek za zwłokę nie nalicza się, jeżeli wysokość odsetek nie przekracza trzykrotności wartości opłaty pobieranej przez operatora wyznaczonego w rozumieniu ustawy z dnia 23 listopada 2012 r. – Prawo pocztowe za traktowanie przesyłki listowej jako przesyłki poleconej.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Dodatkowy termin spłaty należności ustalany jest na</w:t>
            </w:r>
            <w:r w:rsidRPr="00D20114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5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 Roboczych od dnia otrzymania wezwania, o którym mowa w pkt.2. powyżej. </w:t>
            </w:r>
          </w:p>
          <w:p w:rsidR="008B0263" w:rsidRPr="00D20114" w:rsidRDefault="00C117E2" w:rsidP="00C117E2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Brak spłaty należności, o których mowa w pkt. 1. 1) – 2) powyżej, stanowi podstawę do niezatwierdzenia Sprawozdania kwartalnego oraz może stanowić przesłankę do wypowiedzenia Umowy przez Menadżera. </w:t>
            </w:r>
          </w:p>
        </w:tc>
      </w:tr>
    </w:tbl>
    <w:p w:rsidR="008B0263" w:rsidRDefault="008B0263"/>
    <w:sectPr w:rsidR="008B0263" w:rsidSect="00F77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22" w:rsidRDefault="00A90222" w:rsidP="008B0263">
      <w:pPr>
        <w:spacing w:after="0" w:line="240" w:lineRule="auto"/>
      </w:pPr>
      <w:r>
        <w:separator/>
      </w:r>
    </w:p>
  </w:endnote>
  <w:endnote w:type="continuationSeparator" w:id="0">
    <w:p w:rsidR="00A90222" w:rsidRDefault="00A90222" w:rsidP="008B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B5" w:rsidRDefault="00750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4118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E66C8" w:rsidRDefault="002E66C8">
            <w:pPr>
              <w:pStyle w:val="Stopka"/>
              <w:jc w:val="center"/>
            </w:pPr>
            <w:r w:rsidRPr="002E66C8">
              <w:rPr>
                <w:bCs/>
                <w:sz w:val="24"/>
                <w:szCs w:val="24"/>
              </w:rPr>
              <w:fldChar w:fldCharType="begin"/>
            </w:r>
            <w:r w:rsidRPr="002E66C8">
              <w:rPr>
                <w:bCs/>
              </w:rPr>
              <w:instrText>PAGE</w:instrText>
            </w:r>
            <w:r w:rsidRPr="002E66C8">
              <w:rPr>
                <w:bCs/>
                <w:sz w:val="24"/>
                <w:szCs w:val="24"/>
              </w:rPr>
              <w:fldChar w:fldCharType="separate"/>
            </w:r>
            <w:r w:rsidR="007504B5">
              <w:rPr>
                <w:bCs/>
                <w:noProof/>
              </w:rPr>
              <w:t>6</w:t>
            </w:r>
            <w:r w:rsidRPr="002E66C8">
              <w:rPr>
                <w:bCs/>
                <w:sz w:val="24"/>
                <w:szCs w:val="24"/>
              </w:rPr>
              <w:fldChar w:fldCharType="end"/>
            </w:r>
            <w:r w:rsidRPr="002E66C8">
              <w:t xml:space="preserve"> z </w:t>
            </w:r>
            <w:r w:rsidRPr="002E66C8">
              <w:rPr>
                <w:bCs/>
                <w:sz w:val="24"/>
                <w:szCs w:val="24"/>
              </w:rPr>
              <w:fldChar w:fldCharType="begin"/>
            </w:r>
            <w:r w:rsidRPr="002E66C8">
              <w:rPr>
                <w:bCs/>
              </w:rPr>
              <w:instrText>NUMPAGES</w:instrText>
            </w:r>
            <w:r w:rsidRPr="002E66C8">
              <w:rPr>
                <w:bCs/>
                <w:sz w:val="24"/>
                <w:szCs w:val="24"/>
              </w:rPr>
              <w:fldChar w:fldCharType="separate"/>
            </w:r>
            <w:r w:rsidR="007504B5">
              <w:rPr>
                <w:bCs/>
                <w:noProof/>
              </w:rPr>
              <w:t>6</w:t>
            </w:r>
            <w:r w:rsidRPr="002E66C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6F42" w:rsidRDefault="009E6F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B5" w:rsidRDefault="00750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22" w:rsidRDefault="00A90222" w:rsidP="008B0263">
      <w:pPr>
        <w:spacing w:after="0" w:line="240" w:lineRule="auto"/>
      </w:pPr>
      <w:r>
        <w:separator/>
      </w:r>
    </w:p>
  </w:footnote>
  <w:footnote w:type="continuationSeparator" w:id="0">
    <w:p w:rsidR="00A90222" w:rsidRDefault="00A90222" w:rsidP="008B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B5" w:rsidRDefault="00750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F42" w:rsidRDefault="009E6F42" w:rsidP="008B0263">
    <w:pPr>
      <w:pStyle w:val="Nagwek"/>
    </w:pPr>
    <w:r>
      <w:t xml:space="preserve">                      </w:t>
    </w:r>
    <w:r>
      <w:ptab w:relativeTo="margin" w:alignment="center" w:leader="none"/>
    </w:r>
    <w:r>
      <w:ptab w:relativeTo="margin" w:alignment="right" w:leader="none"/>
    </w:r>
  </w:p>
  <w:p w:rsidR="009E6F42" w:rsidRDefault="009E6F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65C" w:rsidRDefault="007504B5">
    <w:pPr>
      <w:pStyle w:val="Nagwek"/>
    </w:pPr>
    <w:r w:rsidRPr="007504B5">
      <w:rPr>
        <w:noProof/>
      </w:rPr>
      <w:drawing>
        <wp:inline distT="0" distB="0" distL="0" distR="0">
          <wp:extent cx="5760720" cy="609238"/>
          <wp:effectExtent l="0" t="0" r="0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EFB"/>
    <w:multiLevelType w:val="hybridMultilevel"/>
    <w:tmpl w:val="FC0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5DF8"/>
    <w:multiLevelType w:val="hybridMultilevel"/>
    <w:tmpl w:val="268E949E"/>
    <w:lvl w:ilvl="0" w:tplc="0E72A5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08BB"/>
    <w:multiLevelType w:val="hybridMultilevel"/>
    <w:tmpl w:val="20629A3C"/>
    <w:lvl w:ilvl="0" w:tplc="067660E2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E34AF0"/>
    <w:multiLevelType w:val="hybridMultilevel"/>
    <w:tmpl w:val="38C42156"/>
    <w:lvl w:ilvl="0" w:tplc="BA26CF4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6CF2654"/>
    <w:multiLevelType w:val="hybridMultilevel"/>
    <w:tmpl w:val="FC92F436"/>
    <w:lvl w:ilvl="0" w:tplc="49907E20">
      <w:start w:val="1"/>
      <w:numFmt w:val="decimal"/>
      <w:lvlText w:val="%1."/>
      <w:lvlJc w:val="left"/>
      <w:pPr>
        <w:ind w:left="717" w:hanging="360"/>
      </w:pPr>
      <w:rPr>
        <w:b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907581A"/>
    <w:multiLevelType w:val="hybridMultilevel"/>
    <w:tmpl w:val="D21AA624"/>
    <w:lvl w:ilvl="0" w:tplc="5EBCA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F0CDD"/>
    <w:multiLevelType w:val="hybridMultilevel"/>
    <w:tmpl w:val="BC6400CE"/>
    <w:lvl w:ilvl="0" w:tplc="8E165CA6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B5A4D69"/>
    <w:multiLevelType w:val="hybridMultilevel"/>
    <w:tmpl w:val="FC0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4F05"/>
    <w:multiLevelType w:val="hybridMultilevel"/>
    <w:tmpl w:val="A0AEB29C"/>
    <w:lvl w:ilvl="0" w:tplc="F308313E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1DE4D96"/>
    <w:multiLevelType w:val="hybridMultilevel"/>
    <w:tmpl w:val="80E4463C"/>
    <w:lvl w:ilvl="0" w:tplc="7C4CF5C0">
      <w:start w:val="1"/>
      <w:numFmt w:val="decimal"/>
      <w:lvlText w:val="%1)"/>
      <w:lvlJc w:val="left"/>
      <w:pPr>
        <w:ind w:left="107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4751A50"/>
    <w:multiLevelType w:val="hybridMultilevel"/>
    <w:tmpl w:val="A7E47B82"/>
    <w:lvl w:ilvl="0" w:tplc="793683B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ED81625"/>
    <w:multiLevelType w:val="hybridMultilevel"/>
    <w:tmpl w:val="2BDAA980"/>
    <w:lvl w:ilvl="0" w:tplc="CC440B62">
      <w:start w:val="1"/>
      <w:numFmt w:val="decimal"/>
      <w:lvlText w:val="%1)"/>
      <w:lvlJc w:val="left"/>
      <w:pPr>
        <w:ind w:left="1068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8D5901"/>
    <w:multiLevelType w:val="hybridMultilevel"/>
    <w:tmpl w:val="E77E78AC"/>
    <w:lvl w:ilvl="0" w:tplc="007AC1D4">
      <w:start w:val="1"/>
      <w:numFmt w:val="decimal"/>
      <w:lvlText w:val="%1."/>
      <w:lvlJc w:val="left"/>
      <w:pPr>
        <w:ind w:left="717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1FA7BFD"/>
    <w:multiLevelType w:val="hybridMultilevel"/>
    <w:tmpl w:val="2806E0E6"/>
    <w:lvl w:ilvl="0" w:tplc="1130D970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26D47F0"/>
    <w:multiLevelType w:val="hybridMultilevel"/>
    <w:tmpl w:val="C646E362"/>
    <w:lvl w:ilvl="0" w:tplc="91AA8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B804E2"/>
    <w:multiLevelType w:val="hybridMultilevel"/>
    <w:tmpl w:val="CB9CADF0"/>
    <w:lvl w:ilvl="0" w:tplc="7AA45C1A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63"/>
    <w:rsid w:val="00014CFB"/>
    <w:rsid w:val="00047991"/>
    <w:rsid w:val="00052626"/>
    <w:rsid w:val="000678B3"/>
    <w:rsid w:val="000722AC"/>
    <w:rsid w:val="0008728F"/>
    <w:rsid w:val="000A34A9"/>
    <w:rsid w:val="00103CFC"/>
    <w:rsid w:val="00122598"/>
    <w:rsid w:val="00130C44"/>
    <w:rsid w:val="00136EE1"/>
    <w:rsid w:val="001B2FD0"/>
    <w:rsid w:val="001C1A52"/>
    <w:rsid w:val="001C2BC4"/>
    <w:rsid w:val="001D08FB"/>
    <w:rsid w:val="00212358"/>
    <w:rsid w:val="00225B85"/>
    <w:rsid w:val="0026230A"/>
    <w:rsid w:val="002761ED"/>
    <w:rsid w:val="002874DC"/>
    <w:rsid w:val="00295DFB"/>
    <w:rsid w:val="002965AC"/>
    <w:rsid w:val="002B2024"/>
    <w:rsid w:val="002E66C8"/>
    <w:rsid w:val="00341CEE"/>
    <w:rsid w:val="0034304B"/>
    <w:rsid w:val="00351791"/>
    <w:rsid w:val="003560E3"/>
    <w:rsid w:val="00366F75"/>
    <w:rsid w:val="00371A47"/>
    <w:rsid w:val="003764E4"/>
    <w:rsid w:val="003841F0"/>
    <w:rsid w:val="00391EEF"/>
    <w:rsid w:val="003A770F"/>
    <w:rsid w:val="003D64FD"/>
    <w:rsid w:val="003F549C"/>
    <w:rsid w:val="0040121F"/>
    <w:rsid w:val="004400D3"/>
    <w:rsid w:val="004A193A"/>
    <w:rsid w:val="004D05FB"/>
    <w:rsid w:val="00520D2D"/>
    <w:rsid w:val="0052384F"/>
    <w:rsid w:val="005408C3"/>
    <w:rsid w:val="00546DAB"/>
    <w:rsid w:val="005539F5"/>
    <w:rsid w:val="005A13FD"/>
    <w:rsid w:val="005C1F0E"/>
    <w:rsid w:val="00620DAD"/>
    <w:rsid w:val="00621934"/>
    <w:rsid w:val="00633F8F"/>
    <w:rsid w:val="00644B31"/>
    <w:rsid w:val="0065218E"/>
    <w:rsid w:val="00680A15"/>
    <w:rsid w:val="0068366E"/>
    <w:rsid w:val="006C0363"/>
    <w:rsid w:val="006F37B2"/>
    <w:rsid w:val="006F6F34"/>
    <w:rsid w:val="00707369"/>
    <w:rsid w:val="0071201C"/>
    <w:rsid w:val="007256D6"/>
    <w:rsid w:val="0073567C"/>
    <w:rsid w:val="007504B5"/>
    <w:rsid w:val="0077187C"/>
    <w:rsid w:val="007A1D8A"/>
    <w:rsid w:val="007E4796"/>
    <w:rsid w:val="0080260E"/>
    <w:rsid w:val="00825FE5"/>
    <w:rsid w:val="00867A8E"/>
    <w:rsid w:val="00875A1D"/>
    <w:rsid w:val="008771E0"/>
    <w:rsid w:val="0089736B"/>
    <w:rsid w:val="008B0263"/>
    <w:rsid w:val="008B7891"/>
    <w:rsid w:val="008B7D59"/>
    <w:rsid w:val="008F354B"/>
    <w:rsid w:val="008F572D"/>
    <w:rsid w:val="00910917"/>
    <w:rsid w:val="00910EAF"/>
    <w:rsid w:val="009156D3"/>
    <w:rsid w:val="00917E91"/>
    <w:rsid w:val="009676CE"/>
    <w:rsid w:val="009E6F42"/>
    <w:rsid w:val="009F7345"/>
    <w:rsid w:val="00A90222"/>
    <w:rsid w:val="00A91434"/>
    <w:rsid w:val="00AA4032"/>
    <w:rsid w:val="00AB0789"/>
    <w:rsid w:val="00AC1C6E"/>
    <w:rsid w:val="00AC7D1B"/>
    <w:rsid w:val="00AE5842"/>
    <w:rsid w:val="00AF7087"/>
    <w:rsid w:val="00B34C3A"/>
    <w:rsid w:val="00B5733C"/>
    <w:rsid w:val="00B92444"/>
    <w:rsid w:val="00B96241"/>
    <w:rsid w:val="00C10537"/>
    <w:rsid w:val="00C117E2"/>
    <w:rsid w:val="00C408CB"/>
    <w:rsid w:val="00C8622E"/>
    <w:rsid w:val="00CC15FA"/>
    <w:rsid w:val="00CC7D7A"/>
    <w:rsid w:val="00CE0B6C"/>
    <w:rsid w:val="00CE0CD5"/>
    <w:rsid w:val="00D02D94"/>
    <w:rsid w:val="00D20114"/>
    <w:rsid w:val="00D423B3"/>
    <w:rsid w:val="00D73B4D"/>
    <w:rsid w:val="00DA2518"/>
    <w:rsid w:val="00DC5513"/>
    <w:rsid w:val="00DD1F2F"/>
    <w:rsid w:val="00E27844"/>
    <w:rsid w:val="00E31215"/>
    <w:rsid w:val="00E46083"/>
    <w:rsid w:val="00E5348D"/>
    <w:rsid w:val="00E65131"/>
    <w:rsid w:val="00E74120"/>
    <w:rsid w:val="00E75CA8"/>
    <w:rsid w:val="00E84F7F"/>
    <w:rsid w:val="00E91715"/>
    <w:rsid w:val="00EB0F06"/>
    <w:rsid w:val="00ED3418"/>
    <w:rsid w:val="00ED5122"/>
    <w:rsid w:val="00EE68EC"/>
    <w:rsid w:val="00F22A57"/>
    <w:rsid w:val="00F31DEC"/>
    <w:rsid w:val="00F34687"/>
    <w:rsid w:val="00F44F68"/>
    <w:rsid w:val="00F664C7"/>
    <w:rsid w:val="00F6696F"/>
    <w:rsid w:val="00F7765C"/>
    <w:rsid w:val="00FC3171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AF7B68"/>
  <w15:docId w15:val="{F5DB8B1E-8942-4EA7-8887-6AA61683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2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263"/>
  </w:style>
  <w:style w:type="paragraph" w:styleId="Stopka">
    <w:name w:val="footer"/>
    <w:basedOn w:val="Normalny"/>
    <w:link w:val="StopkaZnak"/>
    <w:uiPriority w:val="99"/>
    <w:unhideWhenUsed/>
    <w:rsid w:val="008B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263"/>
  </w:style>
  <w:style w:type="paragraph" w:styleId="Tekstdymka">
    <w:name w:val="Balloon Text"/>
    <w:basedOn w:val="Normalny"/>
    <w:link w:val="TekstdymkaZnak"/>
    <w:uiPriority w:val="99"/>
    <w:semiHidden/>
    <w:unhideWhenUsed/>
    <w:rsid w:val="008B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0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230A"/>
    <w:pPr>
      <w:ind w:left="720"/>
      <w:contextualSpacing/>
    </w:pPr>
  </w:style>
  <w:style w:type="table" w:styleId="Jasnasiatkaakcent5">
    <w:name w:val="Light Grid Accent 5"/>
    <w:basedOn w:val="Standardowy"/>
    <w:uiPriority w:val="62"/>
    <w:rsid w:val="00D20114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FF931-D588-414F-92EB-30BD1F10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2638</Words>
  <Characters>15832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wieczynska</dc:creator>
  <cp:keywords/>
  <dc:description/>
  <cp:lastModifiedBy>a.dzieciol</cp:lastModifiedBy>
  <cp:revision>12</cp:revision>
  <dcterms:created xsi:type="dcterms:W3CDTF">2017-07-26T07:43:00Z</dcterms:created>
  <dcterms:modified xsi:type="dcterms:W3CDTF">2018-03-16T08:45:00Z</dcterms:modified>
</cp:coreProperties>
</file>