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0EE" w:rsidRDefault="00BE20EE" w:rsidP="00BE20EE">
      <w:pPr>
        <w:pStyle w:val="Default"/>
        <w:ind w:left="5387" w:firstLine="2268"/>
        <w:rPr>
          <w:rFonts w:asciiTheme="minorHAnsi" w:hAnsiTheme="minorHAnsi" w:cs="Times New Roman"/>
          <w:b/>
          <w:bCs/>
          <w:color w:val="auto"/>
        </w:rPr>
      </w:pPr>
      <w:r w:rsidRPr="004D05FB">
        <w:rPr>
          <w:rFonts w:asciiTheme="minorHAnsi" w:hAnsiTheme="minorHAnsi" w:cs="Times New Roman"/>
          <w:b/>
          <w:bCs/>
          <w:color w:val="auto"/>
        </w:rPr>
        <w:t xml:space="preserve">Załącznik nr </w:t>
      </w:r>
      <w:r w:rsidR="00153F02">
        <w:rPr>
          <w:rFonts w:asciiTheme="minorHAnsi" w:hAnsiTheme="minorHAnsi" w:cs="Times New Roman"/>
          <w:b/>
          <w:bCs/>
          <w:color w:val="auto"/>
        </w:rPr>
        <w:t>3</w:t>
      </w:r>
      <w:r w:rsidRPr="004D05FB">
        <w:rPr>
          <w:rFonts w:asciiTheme="minorHAnsi" w:hAnsiTheme="minorHAnsi" w:cs="Times New Roman"/>
          <w:b/>
          <w:bCs/>
          <w:color w:val="auto"/>
        </w:rPr>
        <w:t xml:space="preserve"> do Umowy Operacyjnej </w:t>
      </w:r>
      <w:r>
        <w:rPr>
          <w:rFonts w:asciiTheme="minorHAnsi" w:hAnsiTheme="minorHAnsi" w:cs="Times New Roman"/>
          <w:b/>
          <w:bCs/>
          <w:color w:val="auto"/>
        </w:rPr>
        <w:t>–</w:t>
      </w:r>
      <w:r w:rsidRPr="004D05FB">
        <w:rPr>
          <w:rFonts w:asciiTheme="minorHAnsi" w:hAnsiTheme="minorHAnsi" w:cs="Times New Roman"/>
          <w:b/>
          <w:bCs/>
          <w:color w:val="auto"/>
        </w:rPr>
        <w:t xml:space="preserve"> Po</w:t>
      </w:r>
      <w:r>
        <w:rPr>
          <w:rFonts w:asciiTheme="minorHAnsi" w:hAnsiTheme="minorHAnsi" w:cs="Times New Roman"/>
          <w:b/>
          <w:bCs/>
          <w:color w:val="auto"/>
        </w:rPr>
        <w:t>ręczenie</w:t>
      </w:r>
    </w:p>
    <w:p w:rsidR="00BE20EE" w:rsidRDefault="00BE20EE" w:rsidP="00BE20EE">
      <w:pPr>
        <w:pStyle w:val="Default"/>
        <w:ind w:left="5387" w:firstLine="2268"/>
        <w:rPr>
          <w:rFonts w:asciiTheme="minorHAnsi" w:hAnsiTheme="minorHAnsi" w:cs="Times New Roman"/>
          <w:b/>
          <w:bCs/>
          <w:color w:val="auto"/>
        </w:rPr>
      </w:pPr>
    </w:p>
    <w:p w:rsidR="008B0263" w:rsidRPr="003910FF" w:rsidRDefault="008B0263" w:rsidP="008B0263">
      <w:pPr>
        <w:pStyle w:val="Default"/>
        <w:ind w:left="4956"/>
        <w:rPr>
          <w:rFonts w:asciiTheme="minorHAnsi" w:hAnsiTheme="minorHAnsi" w:cs="Times New Roman"/>
          <w:color w:val="auto"/>
          <w:sz w:val="20"/>
          <w:szCs w:val="20"/>
          <w:highlight w:val="yellow"/>
        </w:rPr>
      </w:pPr>
    </w:p>
    <w:p w:rsidR="008B0263" w:rsidRDefault="008B0263" w:rsidP="008B0263">
      <w:pPr>
        <w:jc w:val="center"/>
        <w:rPr>
          <w:rFonts w:cs="Times New Roman"/>
          <w:b/>
          <w:bCs/>
          <w:sz w:val="28"/>
          <w:szCs w:val="28"/>
        </w:rPr>
      </w:pPr>
      <w:r w:rsidRPr="003910FF">
        <w:rPr>
          <w:rFonts w:cs="Times New Roman"/>
          <w:b/>
          <w:bCs/>
          <w:sz w:val="28"/>
          <w:szCs w:val="28"/>
        </w:rPr>
        <w:t>Procedura Składania Rozliczeń</w:t>
      </w:r>
      <w:r w:rsidR="00082957">
        <w:rPr>
          <w:rFonts w:cs="Times New Roman"/>
          <w:b/>
          <w:bCs/>
          <w:sz w:val="28"/>
          <w:szCs w:val="28"/>
        </w:rPr>
        <w:t xml:space="preserve"> Operacji</w:t>
      </w:r>
    </w:p>
    <w:p w:rsidR="00BE20EE" w:rsidRPr="00D8358F" w:rsidRDefault="00BE20EE" w:rsidP="008B0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Jasnasiatkaak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263" w:rsidRPr="00707369" w:rsidTr="00C53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63" w:rsidRPr="00707369" w:rsidRDefault="008B0263" w:rsidP="00C117E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707369">
              <w:rPr>
                <w:rFonts w:asciiTheme="minorHAnsi" w:hAnsiTheme="minorHAnsi" w:cstheme="minorHAnsi"/>
                <w:u w:val="single"/>
              </w:rPr>
              <w:t>Wniosek o Wypłatę Transzy</w:t>
            </w:r>
          </w:p>
        </w:tc>
      </w:tr>
      <w:tr w:rsidR="008B0263" w:rsidRPr="00D20114" w:rsidTr="0088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EF5"/>
          </w:tcPr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Menadżer Fundus</w:t>
            </w:r>
            <w:r w:rsidR="00EB0F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zu Funduszy powierzy Pośrednikowi Finansowemu na podstawie Umowy Operacyjnej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środ</w:t>
            </w:r>
            <w:r w:rsidR="003F549C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ki w celu wdrożenia Instrumentu Finansowego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. Udostępnienie </w:t>
            </w:r>
            <w:r w:rsidR="00EB0F06"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środków Pośrednikowi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Finansowemu następuje na podstawie złożonego przez Pośrednika Finansowego Wniosku o wypłatę transzy (dalej ,,wniosek’’).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Wniosek składany jest w wersji papierowej </w:t>
            </w:r>
            <w:r w:rsidR="00EB0F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lub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elektronicznej</w:t>
            </w:r>
            <w:r w:rsidR="00EB0F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(</w:t>
            </w:r>
            <w:r w:rsidR="00EB0F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 wykorzystaniem kwalifikowanego podpisu elektronicznego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). Wersja papierowa Wniosku składana jest osobiście lub pocztą za zwrotnym potwierdzeniem odbioru bądź przesyłką kurierską (decyduje data wpływu do biura MFF) przez Pośrednika Finansowego na adres wskazany </w:t>
            </w:r>
            <w:r w:rsidR="00130C4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br/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 Umowie jako adres do powiadomień.</w:t>
            </w:r>
            <w:r w:rsidR="00DA251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Wersja elektroniczna wniosku przesyłana jest na adres skrzynki pocztowej wskazany w Umowie.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Wniosek podlega weryfikacji pod względem formalnym, merytorycznym oraz rachunkowym w ciągu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20 dni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roboczych od daty jego wpływu </w:t>
            </w:r>
            <w:r w:rsidR="003841F0">
              <w:rPr>
                <w:rFonts w:asciiTheme="minorHAnsi" w:hAnsiTheme="minorHAnsi" w:cstheme="minorHAnsi"/>
                <w:b w:val="0"/>
                <w:sz w:val="22"/>
                <w:szCs w:val="22"/>
              </w:rPr>
              <w:t>na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adres wskazany w Umowie jako adres do powiadomień.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Pośrednik Fi</w:t>
            </w:r>
            <w:r w:rsidR="00680A15">
              <w:rPr>
                <w:rFonts w:asciiTheme="minorHAnsi" w:hAnsiTheme="minorHAnsi" w:cstheme="minorHAnsi"/>
                <w:b w:val="0"/>
                <w:sz w:val="22"/>
                <w:szCs w:val="22"/>
              </w:rPr>
              <w:t>nansowy sporządza i przedkłada W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nioski do MFF dla Instrumentu Finansowego, przy czym: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pierwszy Wniosek jest składany przez Pośrednika Finansowego w terminie 10 dni Roboczych od daty zawarcia Umowy,</w:t>
            </w:r>
          </w:p>
          <w:p w:rsidR="008B0263" w:rsidRPr="00A70977" w:rsidRDefault="008B0263" w:rsidP="008B026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drugi Wniosek złożony zostanie przez Pośrednika </w:t>
            </w:r>
            <w:r w:rsidRPr="00A7097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Finansowego, gdy </w:t>
            </w:r>
            <w:r w:rsidR="00072022" w:rsidRPr="00A70977">
              <w:rPr>
                <w:rFonts w:asciiTheme="minorHAnsi" w:hAnsiTheme="minorHAnsi" w:cstheme="minorHAnsi"/>
                <w:b w:val="0"/>
                <w:sz w:val="22"/>
                <w:szCs w:val="22"/>
              </w:rPr>
              <w:t>kwota zaangażowana w poręczenia na rzecz Ostatecznych Odbiorców jest równa lub wyższa niż kwo</w:t>
            </w:r>
            <w:r w:rsidR="00A70977" w:rsidRPr="00A7097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ta pierwszego wniosku x 4 x 60%, </w:t>
            </w:r>
            <w:r w:rsidRPr="00A70977">
              <w:rPr>
                <w:rFonts w:asciiTheme="minorHAnsi" w:hAnsiTheme="minorHAnsi" w:cstheme="minorHAnsi"/>
                <w:b w:val="0"/>
                <w:sz w:val="22"/>
                <w:szCs w:val="22"/>
              </w:rPr>
              <w:t>zgodnie z zasadami określonymi w Umowie</w:t>
            </w:r>
            <w:r w:rsidR="00DA2518" w:rsidRPr="00A70977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Pr="00A7097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072022" w:rsidRPr="00A7097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8B0263" w:rsidRPr="00A70977" w:rsidRDefault="008B0263" w:rsidP="008B026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7097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kole</w:t>
            </w:r>
            <w:r w:rsidR="00072022" w:rsidRPr="00A7097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jne wnioski złożone zostaną, </w:t>
            </w:r>
            <w:r w:rsidR="00072022" w:rsidRPr="00A70977">
              <w:rPr>
                <w:rFonts w:asciiTheme="minorHAnsi" w:hAnsiTheme="minorHAnsi" w:cstheme="minorHAnsi"/>
                <w:b w:val="0"/>
                <w:sz w:val="22"/>
                <w:szCs w:val="22"/>
              </w:rPr>
              <w:t>gdy kwota zaangażowana w poręczenia na rzecz Ostatecznych Odbiorców jest równa lub wyższa niż kwota zawarta w poprzednich wnioskach x 4 x 85%, zgodnie z zasadami określonymi w Umowie.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Kwota wnioskowanego do wniesienia Wkładu Funduszu Funduszy zawarta w każdym Wniosku stanowi co do zasady: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25 % całości Wkładu Funduszu Funduszy przewidzianego do wniesienia do danego Instrumentu Finansowego, bez Prawa Opcji, o którym </w:t>
            </w:r>
            <w:r w:rsidRPr="00793158">
              <w:rPr>
                <w:rFonts w:asciiTheme="minorHAnsi" w:hAnsiTheme="minorHAnsi" w:cstheme="minorHAnsi"/>
                <w:b w:val="0"/>
                <w:sz w:val="22"/>
                <w:szCs w:val="22"/>
              </w:rPr>
              <w:t>mowa w § 14 Umowy,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25 % całości Wkładu Funduszu </w:t>
            </w:r>
            <w:r w:rsidR="00DA2518"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Funduszy przewidzianego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 wniesienia do danego Instrumentu Finansowego na podstawie Prawa Opcji, o którym mowa </w:t>
            </w:r>
            <w:r w:rsidRPr="00793158">
              <w:rPr>
                <w:rFonts w:asciiTheme="minorHAnsi" w:hAnsiTheme="minorHAnsi" w:cstheme="minorHAnsi"/>
                <w:b w:val="0"/>
                <w:sz w:val="22"/>
                <w:szCs w:val="22"/>
              </w:rPr>
              <w:t>w § 14 Umowy,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 uprzednim skorzystaniu przez Menadżera z tego prawa.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przypadku stwierdzenia braków lub błędów formalnych, merytorycznych bądź rachunkowych w złożonym Wniosku, Menadżer wzywa Pośrednika Finansowego do poprawienia lub uzupełnienia Wniosku we wskazanym terminie. </w:t>
            </w:r>
          </w:p>
          <w:p w:rsidR="008B0263" w:rsidRPr="00F31DEC" w:rsidRDefault="008B0263" w:rsidP="00F31DEC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Menadżer dokonuje weryfikacji poprawności przygotowanego Wniosku w oparciu o dane zamieszczone przez Pośrednika Finansowego w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Umowie Operacyjnej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</w:t>
            </w:r>
            <w:r w:rsidR="0052384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uzasadnionych </w:t>
            </w:r>
            <w:r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sytuacjach </w:t>
            </w:r>
            <w:r w:rsidR="0052384F">
              <w:rPr>
                <w:rFonts w:asciiTheme="minorHAnsi" w:hAnsiTheme="minorHAnsi" w:cstheme="minorHAnsi"/>
                <w:b w:val="0"/>
                <w:sz w:val="22"/>
                <w:szCs w:val="22"/>
              </w:rPr>
              <w:t>Menadżer może wezwać Pośrednika Finansowego</w:t>
            </w:r>
            <w:r w:rsidR="0052384F"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52384F">
              <w:rPr>
                <w:rFonts w:asciiTheme="minorHAnsi" w:hAnsiTheme="minorHAnsi" w:cstheme="minorHAnsi"/>
                <w:b w:val="0"/>
                <w:sz w:val="22"/>
                <w:szCs w:val="22"/>
              </w:rPr>
              <w:t>do dostarczenia</w:t>
            </w:r>
            <w:r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dodatkowych</w:t>
            </w:r>
            <w:r w:rsidR="003A770F"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dokumentów</w:t>
            </w:r>
            <w:r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formie oryginałów lub zeskanowanych oryginałów dokumentów</w:t>
            </w:r>
            <w:r w:rsidR="0052384F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E7412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W przypadku, gdy Menadżer wzywa Pośrednika Finansowego do poprawienia lub uzupełnienia Wniosku we wskazanym terminie, wezwanie wskazujące zakres zmian lub poprawek oraz termin na ich dokonanie jest przekazyw</w:t>
            </w:r>
            <w:r w:rsidR="0052384F">
              <w:rPr>
                <w:rFonts w:asciiTheme="minorHAnsi" w:hAnsiTheme="minorHAnsi" w:cstheme="minorHAnsi"/>
                <w:b w:val="0"/>
                <w:sz w:val="22"/>
                <w:szCs w:val="22"/>
              </w:rPr>
              <w:t>ane do Pośrednika Finansowego z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wykorzystaniem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poczty elektronicznej, </w:t>
            </w:r>
            <w:r w:rsidR="00E74120"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ewentualnie w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wersji papierowej</w:t>
            </w:r>
            <w:r w:rsidRPr="00D20114"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  <w:t xml:space="preserve">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na adres wskazany w Umowie </w:t>
            </w:r>
            <w:r w:rsidR="00B777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jako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adres do powiadomień. Termin na dokonanie przez Menadżera wypłaty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Transzy liczony jest od dnia złożenia przez Pośrednika Finansowego poprawionego lub uzupełnionego Wniosku. </w:t>
            </w:r>
          </w:p>
          <w:p w:rsidR="008B0263" w:rsidRPr="00F20D6A" w:rsidRDefault="008B0263" w:rsidP="00B711BB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Menadżer dok</w:t>
            </w:r>
            <w:r w:rsidR="00E3074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onuje wypłaty Transzy </w:t>
            </w:r>
            <w:r w:rsidR="00E30747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 Rachunk</w:t>
            </w:r>
            <w:r w:rsidR="00793158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u</w:t>
            </w:r>
            <w:r w:rsidR="00E30747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Bankow</w:t>
            </w:r>
            <w:r w:rsidR="00793158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ego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B711BB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Funduszu Funduszy </w:t>
            </w:r>
            <w:r w:rsidR="00793158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br/>
            </w:r>
            <w:r w:rsidR="00B711BB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(</w:t>
            </w:r>
            <w:r w:rsidR="00E30747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 Wkładem z Programu</w:t>
            </w:r>
            <w:r w:rsidR="00B711BB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) 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na odpowiedni</w:t>
            </w:r>
            <w:r w:rsidR="00793158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Rachunek Bankowy</w:t>
            </w:r>
            <w:r w:rsidR="00E30747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Pośrednika Finansowego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793158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br/>
            </w:r>
            <w:r w:rsidR="00B711BB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(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z Wkładem z </w:t>
            </w:r>
            <w:r w:rsidR="00B711BB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Programu)</w:t>
            </w:r>
            <w:r w:rsidR="00E30747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w terminie 5 Dni Roboczych od dnia zaakceptowania poprawnie wypełnionego Wniosku.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Pośrednik Finansowy może po raz ostatni złożyć Wniosek </w:t>
            </w:r>
            <w:r w:rsidRPr="004400D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na </w:t>
            </w:r>
            <w:r w:rsidR="002761ED" w:rsidRPr="004400D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90</w:t>
            </w:r>
            <w:r w:rsidRPr="004400D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Dni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2761E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kalendarzowych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przed ostatnim dniem Okresu Budowy Portfela. </w:t>
            </w:r>
          </w:p>
          <w:p w:rsidR="008B0263" w:rsidRPr="00F20D6A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W przypadku braku wys</w:t>
            </w:r>
            <w:r w:rsidR="00B711B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tarczających </w:t>
            </w:r>
            <w:r w:rsidR="00B711BB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środków na </w:t>
            </w:r>
            <w:r w:rsidR="00793158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Rachunku Bankowym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Funduszu Funduszy, Transza zostanie przekazana Pośrednikowi Finansowemu niezwłocznie po wpływie odpowiednich środków na Rachunek Bankowy Funduszu Funduszy.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 sytuacji przejściowego braku wysta</w:t>
            </w:r>
            <w:r w:rsidR="00793158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rczających środków na Rachunku Bankowym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Funduszu Funduszy dopuszcza się możliwość wypłaty Transzy w częściach. </w:t>
            </w:r>
          </w:p>
          <w:p w:rsidR="008B0263" w:rsidRPr="00D20114" w:rsidRDefault="008B0263" w:rsidP="00CE0CD5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Menadżer zastrzega, że może wstrzymać przekazywanie Transzy w przypadku realizowania Umowy w sposób niezgodny z jej postanowieniami.</w:t>
            </w:r>
          </w:p>
        </w:tc>
      </w:tr>
      <w:tr w:rsidR="00726B36" w:rsidRPr="00707369" w:rsidTr="00C53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B36" w:rsidRDefault="004244AE" w:rsidP="004244A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Budowa portfela</w:t>
            </w: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Poręczeń</w:t>
            </w:r>
          </w:p>
          <w:p w:rsidR="004244AE" w:rsidRPr="004244AE" w:rsidRDefault="004244AE" w:rsidP="004244AE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 w:rsidR="004244AE" w:rsidRPr="00707369" w:rsidTr="0088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EF5"/>
          </w:tcPr>
          <w:p w:rsidR="004244AE" w:rsidRDefault="004244AE" w:rsidP="004244AE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Pośrednik Finansowy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zobowiązany jest do zbudowania portfela poręczeń indywidualnych w Okresie Budowy Portfela. </w:t>
            </w:r>
          </w:p>
          <w:p w:rsidR="004244AE" w:rsidRPr="00411A3B" w:rsidRDefault="004244AE" w:rsidP="004244AE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244AE">
              <w:rPr>
                <w:b w:val="0"/>
                <w:color w:val="auto"/>
                <w:sz w:val="22"/>
                <w:szCs w:val="22"/>
              </w:rPr>
              <w:t xml:space="preserve">Poręczeniem objęta jest odpowiednia kwota wypłaconej Ostatecznemu Odbiorcy </w:t>
            </w:r>
            <w:r>
              <w:rPr>
                <w:b w:val="0"/>
                <w:color w:val="auto"/>
                <w:sz w:val="22"/>
                <w:szCs w:val="22"/>
              </w:rPr>
              <w:t>nowej pożyczki/kredytu. Wartość portfela poręczeń ustalana jest na podstawie kwoty środków faktycznie wypłac</w:t>
            </w:r>
            <w:r w:rsidR="0044644E">
              <w:rPr>
                <w:b w:val="0"/>
                <w:color w:val="auto"/>
                <w:sz w:val="22"/>
                <w:szCs w:val="22"/>
              </w:rPr>
              <w:t>onych przez Instytucję Finansową</w:t>
            </w:r>
            <w:r w:rsidR="002E0135">
              <w:rPr>
                <w:b w:val="0"/>
                <w:color w:val="auto"/>
                <w:sz w:val="22"/>
                <w:szCs w:val="22"/>
              </w:rPr>
              <w:t xml:space="preserve"> Ostatecznemu Odbiorcy, a po wypłaceniu całości kwoty pożyczki/kredytu na podstawie aktualne</w:t>
            </w:r>
            <w:r w:rsidR="00726335">
              <w:rPr>
                <w:b w:val="0"/>
                <w:color w:val="auto"/>
                <w:sz w:val="22"/>
                <w:szCs w:val="22"/>
              </w:rPr>
              <w:t>go zadłużenia (kapitału pożyczki/kredytu pozostałego do spłaty).</w:t>
            </w:r>
          </w:p>
          <w:p w:rsidR="00411A3B" w:rsidRPr="002E0135" w:rsidRDefault="002E0135" w:rsidP="004244AE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Pośrednik Finansowy zobowiązany jest do gromadzenia i przechowywania wyciągów bankowych potwierdzających wypłatę przez Instytucję Finansową pożyczek/kredytów objętych poręczeniem. </w:t>
            </w:r>
          </w:p>
          <w:p w:rsidR="002E0135" w:rsidRDefault="002E0135" w:rsidP="002E0135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Pośrednik Finansowy/Instytucja Finansowa zobowiązany jest do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umieszczenia na wszystkich oryginałach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faktur/rachunków/innych dokumentów o równoważnej wartości dowodowej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Ostatecznego Odbiorcy, </w:t>
            </w:r>
            <w:r w:rsidR="0072633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rozliczających przyznaną pożyczkę/kredyt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 pieczęci z opisem „</w:t>
            </w:r>
            <w:r w:rsidRPr="009E6F4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Wydatek poniesiony ze środków RPO WK-P 2014-2020 w ramach Umowy </w:t>
            </w:r>
            <w:r w:rsidR="0072633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Poręczenia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9E6F4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nr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</w:t>
            </w:r>
            <w:r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(nr umowy)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9E6F4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zawartej z Pośrednikiem Finansowym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– ….</w:t>
            </w:r>
            <w:r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(nazwa Pośrednika)</w:t>
            </w:r>
            <w:r w:rsidRPr="009E6F4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”.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14035F">
              <w:rPr>
                <w:rStyle w:val="Odwoanieprzypisudolnego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footnoteReference w:id="1"/>
            </w:r>
          </w:p>
          <w:p w:rsidR="002E0135" w:rsidRDefault="002E0135" w:rsidP="002E0135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Pośrednik finansowy zobowiązany jest do przechowywania kopi d</w:t>
            </w:r>
            <w:r w:rsidR="0072633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okumentów o których mowa w pkt.4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powyżej celem udokumentowania prawidłowości wydatkowania środków. Kopie dokumentów powinny zostać sporządzone po opieczętowaniu oryginałów dokument</w:t>
            </w:r>
            <w:r w:rsidR="0072633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ów opisem o którym mowa w pkt. 4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powyżej.</w:t>
            </w:r>
          </w:p>
          <w:p w:rsidR="00793158" w:rsidRPr="0014035F" w:rsidRDefault="002E0135" w:rsidP="0014035F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Pośrednik Finansowy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</w:t>
            </w:r>
            <w:r w:rsidRP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72633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dla każdego poręczenia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, </w:t>
            </w:r>
            <w:r w:rsidRP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zobowiązany jest do sporządzenia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B65FA9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B65FA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 prowadzenia w formie elektronicznej (</w:t>
            </w:r>
            <w:r w:rsidR="00E20D6C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w arkuszu kalkulacyjnym zgodnym z MS Excel) wykazu </w:t>
            </w:r>
            <w:r w:rsidR="00F16CC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dokumentów o których mowa w pkt 4</w:t>
            </w:r>
            <w:r w:rsidRPr="00B65FA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, </w:t>
            </w:r>
            <w:r w:rsidR="00726335" w:rsidRPr="00B65FA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potwierdzających, </w:t>
            </w:r>
            <w:r w:rsidR="00B65FA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ż</w:t>
            </w:r>
            <w:r w:rsidR="00726335" w:rsidRPr="00B65FA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e wsparcie udzielone przez instrument finansowy zostało wykorzystane do celów określonych w Metryce instrumentu finansowego</w:t>
            </w:r>
            <w:r w:rsidRPr="00B65FA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 Wykaz zawiera co najmniej: wystawcę dokumentu, rodzaj przedłożonego dokumentu, numer przedłożonego dokumentu, datę wystawienia dokumentu, metodę płatności, datę zapłaty, kwotę dokumentu brutto i netto, kwotę płatności oraz informację jakiego zakupu dotyczy dokument.</w:t>
            </w:r>
          </w:p>
          <w:p w:rsidR="004244AE" w:rsidRPr="00707369" w:rsidRDefault="004244AE" w:rsidP="008B02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4244AE" w:rsidRPr="00707369" w:rsidTr="00C53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4AE" w:rsidRDefault="00C531F1" w:rsidP="00C531F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531F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Przychody Funduszu Funduszy</w:t>
            </w:r>
          </w:p>
          <w:p w:rsidR="00C531F1" w:rsidRPr="004400D3" w:rsidRDefault="00C531F1" w:rsidP="00C531F1">
            <w:pPr>
              <w:pStyle w:val="Default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244AE" w:rsidRPr="00707369" w:rsidTr="0088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EF5"/>
          </w:tcPr>
          <w:p w:rsidR="00C531F1" w:rsidRPr="00F20D6A" w:rsidRDefault="00C531F1" w:rsidP="00C531F1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lastRenderedPageBreak/>
              <w:t xml:space="preserve">Pośrednik Finansowy lokuje wolne środki będące Wkładem Menadżera Funduszu Funduszy przekazując środki z rachunku z Wkładem z Programu na ,,Rachunek Lokat Wkładu </w:t>
            </w:r>
            <w:r w:rsidR="00AD4E66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br/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 Programu”.</w:t>
            </w:r>
          </w:p>
          <w:p w:rsidR="00C531F1" w:rsidRPr="00F20D6A" w:rsidRDefault="007C1EA7" w:rsidP="00C531F1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 „Rachunku lokat Wkładu</w:t>
            </w:r>
            <w:r w:rsidR="00C531F1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z Programu” zakładane są odrębnie depozyty bankowe.</w:t>
            </w:r>
          </w:p>
          <w:p w:rsidR="00C531F1" w:rsidRPr="00F20D6A" w:rsidRDefault="00C531F1" w:rsidP="00C531F1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Pośrednik Finansowy zobligowany jest do lokowania wkładu Menadżera Funduszu Funduszy w sposób zapewniający zwrot ulokowanego kapitału wraz z odsetkami</w:t>
            </w:r>
            <w:r w:rsidR="007C1EA7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na </w:t>
            </w:r>
            <w:r w:rsidR="0081656E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„Rachunek L</w:t>
            </w:r>
            <w:r w:rsidR="007C1EA7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okat Wkładu</w:t>
            </w:r>
            <w:r w:rsidR="00D7790F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z Programu”.</w:t>
            </w:r>
          </w:p>
          <w:p w:rsidR="00C531F1" w:rsidRPr="00F20D6A" w:rsidRDefault="007C1EA7" w:rsidP="00C531F1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„Rachunek lokat Wkładu</w:t>
            </w:r>
            <w:r w:rsidR="00322479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z Programu” jest rachunkiem</w:t>
            </w:r>
            <w:r w:rsidR="00C531F1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przepływowym</w:t>
            </w:r>
            <w:r w:rsidR="00322479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 na którym</w:t>
            </w:r>
            <w:r w:rsidR="00C531F1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, co do zasady, środki finansowe nie powinny być przechowywane. </w:t>
            </w:r>
          </w:p>
          <w:p w:rsidR="00C531F1" w:rsidRPr="00F20D6A" w:rsidRDefault="00C531F1" w:rsidP="00C531F1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 zapadnięciu lokaty kapitał zostaje zwrócony z </w:t>
            </w:r>
            <w:r w:rsidR="0081656E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Rachunku L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okat</w:t>
            </w:r>
            <w:r w:rsidR="0081656E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Wkładu z Programu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na Rachunek </w:t>
            </w:r>
            <w:r w:rsidR="007C1EA7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 Wkładem z Programu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</w:p>
          <w:p w:rsidR="00C531F1" w:rsidRPr="00F20D6A" w:rsidRDefault="00C531F1" w:rsidP="00C531F1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Odsetki z tytułu lokowania środków zostają zwrócone bezpośrednio z </w:t>
            </w:r>
            <w:r w:rsidR="0081656E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Rachunku L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okat</w:t>
            </w:r>
            <w:r w:rsidR="0081656E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Wkładu z Programu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na rachunek Menadżera Funduszu Funduszy wskazany w Umowie Operacyjnej. </w:t>
            </w:r>
          </w:p>
          <w:p w:rsidR="00C531F1" w:rsidRPr="00F20D6A" w:rsidRDefault="007C1EA7" w:rsidP="00C531F1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Zwrot środków określony w pkt. 5 i 6</w:t>
            </w:r>
            <w:r w:rsidR="00C531F1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odbywa się niezwłocznie, po zapadnięciu lokaty.</w:t>
            </w:r>
          </w:p>
          <w:p w:rsidR="004244AE" w:rsidRPr="002838DF" w:rsidRDefault="00C531F1" w:rsidP="002838DF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Przychody ze środków Wkładu </w:t>
            </w: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Menadżera Funduszu Funduszy, w szczególności odsetki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 tytułu lokowania środków, odsetki </w:t>
            </w: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>od oprocentowanego rachunku bankowego na którym znajdował się wkład MFF oraz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wszelkie</w:t>
            </w: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inne przychody</w:t>
            </w:r>
            <w:r w:rsidR="00A620E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A620E0" w:rsidRPr="00905E42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r w:rsidR="00913A2F" w:rsidRPr="00905E4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np. </w:t>
            </w:r>
            <w:r w:rsidR="00A620E0" w:rsidRPr="00905E42">
              <w:rPr>
                <w:rFonts w:asciiTheme="minorHAnsi" w:hAnsiTheme="minorHAnsi" w:cstheme="minorHAnsi"/>
                <w:b w:val="0"/>
                <w:sz w:val="22"/>
                <w:szCs w:val="22"/>
              </w:rPr>
              <w:t>prowizje od udzielonych poręczeń)</w:t>
            </w:r>
            <w:r w:rsidRPr="00905E42">
              <w:rPr>
                <w:rFonts w:asciiTheme="minorHAnsi" w:hAnsiTheme="minorHAnsi" w:cstheme="minorHAnsi"/>
                <w:b w:val="0"/>
                <w:sz w:val="22"/>
                <w:szCs w:val="22"/>
              </w:rPr>
              <w:t>, zostają bezpośrednio zwrócone na rachunek M</w:t>
            </w: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enadżera Funduszu Funduszy wskazany w Umowie Operacyjnej. </w:t>
            </w:r>
          </w:p>
        </w:tc>
      </w:tr>
      <w:tr w:rsidR="008B0263" w:rsidRPr="00707369" w:rsidTr="00C53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BE" w:rsidRPr="00707369" w:rsidRDefault="003435BE" w:rsidP="003435BE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Zwrot środków z Inwestycji – Zasoby Zwrócone</w:t>
            </w:r>
          </w:p>
          <w:p w:rsidR="00C117E2" w:rsidRPr="00707369" w:rsidRDefault="00C117E2" w:rsidP="003435B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3435BE" w:rsidRPr="00707369" w:rsidTr="0088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EF5"/>
          </w:tcPr>
          <w:p w:rsidR="003435BE" w:rsidRDefault="003435BE" w:rsidP="003435BE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Zwrot środków przez Pośrednika Finansowego z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tytułu uwolnionego kapitału poręczeń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odsetek </w:t>
            </w: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>od oprocentowanego rachunku bankowego</w:t>
            </w:r>
            <w:r w:rsid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na którym znajdował się wkład MFF </w:t>
            </w: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oraz </w:t>
            </w:r>
            <w:r w:rsidR="00F20D6A"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ewentualnych </w:t>
            </w: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prowizji od udzielonych poręczeń,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stanowiący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Zasoby Zwrócone, odbywa się w okresach kwartalnych. Pośrednik Finansowy przekazuje Zasoby Zwrócone na odpowiedni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 Rachunki Bankowe Funduszu Funduszy w udziale % odpowiadającym </w:t>
            </w:r>
            <w:r w:rsidR="00F20D6A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Wkłado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m z Programu. W przypadku uwolnionego kapitału poręczeń podział na część z Wkładem Programu dokonywany </w:t>
            </w:r>
            <w:r w:rsidRPr="003144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jest na poziomie każdego jednostkowego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</w:t>
            </w:r>
            <w:r w:rsidRPr="003144EC">
              <w:rPr>
                <w:rFonts w:asciiTheme="minorHAnsi" w:hAnsiTheme="minorHAnsi" w:cstheme="minorHAnsi"/>
                <w:b w:val="0"/>
                <w:sz w:val="22"/>
                <w:szCs w:val="22"/>
              </w:rPr>
              <w:t>oręczenia.</w:t>
            </w:r>
          </w:p>
          <w:p w:rsidR="003435BE" w:rsidRPr="003144EC" w:rsidRDefault="003435BE" w:rsidP="003435BE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Uwolniony kapitał poręczeń dla portfela obliczany jest odrębnie dla każdej jednostkowej </w:t>
            </w:r>
            <w:r>
              <w:rPr>
                <w:b w:val="0"/>
                <w:color w:val="auto"/>
                <w:sz w:val="22"/>
                <w:szCs w:val="22"/>
              </w:rPr>
              <w:t xml:space="preserve">pożyczki/kredytu od momentu uruchomienia całości pożyczki/kredytu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 oparciu o aktualne</w:t>
            </w:r>
            <w:r>
              <w:rPr>
                <w:b w:val="0"/>
                <w:color w:val="auto"/>
                <w:sz w:val="22"/>
                <w:szCs w:val="22"/>
              </w:rPr>
              <w:t xml:space="preserve"> zadłużenie (wartość kapitału pożyczki/kredytu pozostałego do spłaty)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oraz stopę poręczenia i m</w:t>
            </w:r>
            <w:r w:rsidRPr="003F1753">
              <w:rPr>
                <w:rFonts w:asciiTheme="minorHAnsi" w:hAnsiTheme="minorHAnsi" w:cstheme="minorHAnsi"/>
                <w:b w:val="0"/>
                <w:sz w:val="22"/>
                <w:szCs w:val="22"/>
              </w:rPr>
              <w:t>aksymalny dopuszczalny pułap wypłaty środ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ków określony w Metryce Instrumentu Finansowego.</w:t>
            </w:r>
          </w:p>
          <w:p w:rsidR="003435BE" w:rsidRPr="0081656E" w:rsidRDefault="003435BE" w:rsidP="003435BE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65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Numer </w:t>
            </w:r>
            <w:r w:rsidR="0081656E" w:rsidRPr="0081656E">
              <w:rPr>
                <w:rFonts w:asciiTheme="minorHAnsi" w:hAnsiTheme="minorHAnsi" w:cstheme="minorHAnsi"/>
                <w:b w:val="0"/>
                <w:sz w:val="22"/>
                <w:szCs w:val="22"/>
              </w:rPr>
              <w:t>Rachunku Bankowego</w:t>
            </w:r>
            <w:r w:rsidRPr="008165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Menadżera Funduszu Funduszy, na który będą przekazywane </w:t>
            </w:r>
            <w:r w:rsidRPr="0081656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Zasoby Zwrócone </w:t>
            </w:r>
            <w:r w:rsidRPr="008165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zawarte są w Umowie Operacyjnej. </w:t>
            </w:r>
          </w:p>
          <w:p w:rsidR="003435BE" w:rsidRPr="0081656E" w:rsidRDefault="003435BE" w:rsidP="003435BE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656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Zwrot Zasobów Zwróconych do Menadżera Funduszu Funduszy będzie następować w terminie do 5 Dni Roboczych po przekazaniu przez Pośrednika Finansowego do MFF sprawozdań kwartalnych.</w:t>
            </w:r>
            <w:r w:rsidR="00E62C3D" w:rsidRPr="0081656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3435BE" w:rsidRPr="00D02D94" w:rsidRDefault="003435BE" w:rsidP="003435BE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Pośrednik Finansowy przekazując Zasoby Zwrócone zobowiązany jest do prawidłowego wypełnienia przelewu podając prawidłowe dane. W tytule przelewu Pośrednik zobowiązany jest podać nr Umowy Operacyjnej oraz kwotę zasobów zwracanych w podziale na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uwolniony </w:t>
            </w:r>
            <w:r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kapitał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poręczeń</w:t>
            </w:r>
            <w:r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, odsetki od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oprocentowanego rachunku</w:t>
            </w:r>
            <w:r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, </w:t>
            </w:r>
            <w:r w:rsid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ewentualne 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prowizje od udzielonych poręczeń oraz wszystkie inne przychody wygenerowane przez inw</w:t>
            </w:r>
            <w:r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estycję.</w:t>
            </w:r>
          </w:p>
          <w:p w:rsidR="003435BE" w:rsidRPr="003F1753" w:rsidRDefault="003435BE" w:rsidP="003435BE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okresach kwartalnych, w których u Pośrednika Finansowego nie wystąpiły Zasoby Zwrócone, Pośrednik Finansowy w przekazanym po zakończeniu danego kwartału Sprawozdaniu, informuje Menadżera o niewystąpieniu Zasobów Zwróconych w danym </w:t>
            </w:r>
            <w:r w:rsidRPr="003F1753">
              <w:rPr>
                <w:rFonts w:asciiTheme="minorHAnsi" w:hAnsiTheme="minorHAnsi" w:cstheme="minorHAnsi"/>
                <w:b w:val="0"/>
                <w:sz w:val="22"/>
                <w:szCs w:val="22"/>
              </w:rPr>
              <w:t>kwartale.</w:t>
            </w:r>
          </w:p>
          <w:p w:rsidR="003435BE" w:rsidRPr="003F1753" w:rsidRDefault="003435BE" w:rsidP="003435BE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F1753">
              <w:rPr>
                <w:rFonts w:asciiTheme="minorHAnsi" w:hAnsiTheme="minorHAnsi" w:cstheme="minorHAnsi"/>
                <w:b w:val="0"/>
                <w:sz w:val="22"/>
                <w:szCs w:val="22"/>
              </w:rPr>
              <w:t>Kwota płatności przekazywanych na Rachunki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Bankowe</w:t>
            </w:r>
            <w:r w:rsidRPr="003F175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Funduszu Funduszy przez Pośrednika Finansowego jest równa łącznej kwocie Zasobów Zwróconych, które wystąpiły </w:t>
            </w:r>
            <w:r w:rsidRPr="003F1753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w danym kwartale, zgodnie z prowadzoną przez Pośrednika Finansowego ewidencją oraz zgodnie z informacją zawartą w Sprawozdaniach miesięcznych i kwartalnych. </w:t>
            </w:r>
          </w:p>
          <w:p w:rsidR="003435BE" w:rsidRPr="003F1753" w:rsidRDefault="003435BE" w:rsidP="003435BE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Kwoty netto odzyskane w wyniku dochodzenia przez Pośrednika Finansowego należności przeciwko Ostatecznym Odbiorcom po zakończeniu Okresu Wygaszania Portfela, stanowiące Zasoby Zwrócone, przekazywane są Menadżerowi przez Pośrednika Finansowego w okresach miesięcznych, w terminie do [15] Dni Roboczych po zakończeniu miesiąca. </w:t>
            </w:r>
          </w:p>
        </w:tc>
      </w:tr>
      <w:tr w:rsidR="003435BE" w:rsidRPr="00707369" w:rsidTr="00C53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BE" w:rsidRPr="00707369" w:rsidRDefault="003435BE" w:rsidP="003435BE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 xml:space="preserve">Wypłata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Poręczeń</w:t>
            </w:r>
          </w:p>
          <w:p w:rsidR="003435BE" w:rsidRPr="00707369" w:rsidRDefault="003435BE" w:rsidP="003435B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3435BE" w:rsidRPr="00D20114" w:rsidTr="0088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EF5"/>
          </w:tcPr>
          <w:p w:rsidR="003435BE" w:rsidRPr="004400D3" w:rsidRDefault="003435BE" w:rsidP="003435BE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celu wypłaty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Poręczenia do Instytucji Finansowej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Pośrednik Finansowy przekazuje na odpowiedni rachunek bankowy (Wypłat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Poręczeń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):</w:t>
            </w:r>
          </w:p>
          <w:p w:rsidR="003435BE" w:rsidRDefault="003435BE" w:rsidP="003435BE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środki powierzone przez Menadżera Funduszu Funduszy z Rachunku z Wkładem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z Programu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udziale wynikającym z zaangażowania środków z Programu w Instrument Finansowy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3435BE" w:rsidRPr="00F20D6A" w:rsidRDefault="003435BE" w:rsidP="003435BE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środki </w:t>
            </w:r>
            <w:r w:rsidR="00DB20FE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własne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, w udziale wynikającym z zaangażowania środków </w:t>
            </w:r>
            <w:r w:rsidR="00331F22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własnych 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 Instrument Finansowy.</w:t>
            </w:r>
          </w:p>
          <w:p w:rsidR="003435BE" w:rsidRPr="004400D3" w:rsidRDefault="003435BE" w:rsidP="003435BE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Poręczenie, zawierające odpowiedni % Wkładu z Programu (zgodny z Biznes Planem) oraz Wkładu </w:t>
            </w:r>
            <w:r w:rsidR="00331F22"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własnego</w:t>
            </w:r>
            <w:r w:rsidRPr="00F20D6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 wypłacane jest na rzecz Instytucji Finansowej z rachunku bankowego (Wypłat Poręczeń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). </w:t>
            </w:r>
          </w:p>
          <w:p w:rsidR="003435BE" w:rsidRDefault="003435BE" w:rsidP="003435BE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Rachunek bankowy Wypłat Poręczeń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jest rachunkiem przepływowym, na którym, co do zasady, środki finansowe nie powinny być przechowywane. </w:t>
            </w:r>
          </w:p>
          <w:p w:rsidR="003435BE" w:rsidRPr="0081656E" w:rsidRDefault="003435BE" w:rsidP="003435BE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1656E">
              <w:rPr>
                <w:rFonts w:asciiTheme="minorHAnsi" w:hAnsiTheme="minorHAnsi" w:cstheme="minorHAnsi"/>
                <w:b w:val="0"/>
                <w:sz w:val="22"/>
                <w:szCs w:val="22"/>
              </w:rPr>
              <w:t>Wypłata Poręczenia dokonywana jest na wniosek Instytucji Finansowej w przypadku niewykonania zobowiązania przez Ostatecznego Odbiorcę, które trwa co najmniej 90 kolejnych dni kalendarzowych.</w:t>
            </w:r>
          </w:p>
          <w:p w:rsidR="003435BE" w:rsidRDefault="003435BE" w:rsidP="003435BE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Wypłata Poręczenia na rzecz Instytucji Finansowej powinna nastąpić po wystąpieniu straty, co do zasady w terminie do 60 dni od złożenia poprawnego wniosku o wypłatę poręczenia, zgodnie z umową zawartą pomiędzy Pośrednikiem Finansowym a Instytucja Finansową.</w:t>
            </w:r>
          </w:p>
          <w:p w:rsidR="003435BE" w:rsidRDefault="003435BE" w:rsidP="003435BE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Pośrednik Fina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nsowy dokonując wypłaty poręczenia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na rzecz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Instytucji Finansowej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zobowiązany jest do prawidłowego wypełnienia przelewu. W tytule przelewu Pośrednik zobowiązany jest podać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skróconą nazwę podmiotu, któremu udzielono poręczenia i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numer Umowy poręczenia, np. „MAXDOM, poręczenie nr 123/PBS….</w:t>
            </w:r>
          </w:p>
          <w:p w:rsidR="003435BE" w:rsidRDefault="003435BE" w:rsidP="003435BE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Maksymalny dopuszczalny pułap wypłaty środków oraz stopa jednostkowego poręczenia zostały określone w Metryce Instrumentu Finansowego.</w:t>
            </w:r>
          </w:p>
          <w:p w:rsidR="003435BE" w:rsidRPr="00537916" w:rsidRDefault="003435BE" w:rsidP="003435B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color w:val="000000"/>
              </w:rPr>
            </w:pPr>
            <w:r w:rsidRPr="00537916">
              <w:rPr>
                <w:rFonts w:asciiTheme="minorHAnsi" w:hAnsiTheme="minorHAnsi" w:cstheme="minorHAnsi"/>
                <w:b w:val="0"/>
                <w:color w:val="000000"/>
              </w:rPr>
              <w:t xml:space="preserve">Po wypłacie poręczenia Pośrednik Finansowy jest zobowiązany do dochodzenia wierzytelności od Odbiorcy 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>Ostatecznego</w:t>
            </w:r>
            <w:r w:rsidRPr="00537916">
              <w:rPr>
                <w:rFonts w:asciiTheme="minorHAnsi" w:hAnsiTheme="minorHAnsi" w:cstheme="minorHAnsi"/>
                <w:b w:val="0"/>
                <w:color w:val="000000"/>
              </w:rPr>
              <w:t xml:space="preserve"> wynikających z 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>wypłaconego</w:t>
            </w:r>
            <w:r w:rsidRPr="00537916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>Instytucji Finansowej poręczenia</w:t>
            </w:r>
            <w:r w:rsidRPr="00537916">
              <w:rPr>
                <w:rFonts w:asciiTheme="minorHAnsi" w:hAnsiTheme="minorHAnsi" w:cstheme="minorHAnsi"/>
                <w:b w:val="0"/>
                <w:color w:val="000000"/>
              </w:rPr>
              <w:t xml:space="preserve">. Dochodzenie roszczeń odbywa się zgodnie z wewnętrznymi regulacjami 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br/>
            </w:r>
            <w:r w:rsidRPr="00537916">
              <w:rPr>
                <w:rFonts w:asciiTheme="minorHAnsi" w:hAnsiTheme="minorHAnsi" w:cstheme="minorHAnsi"/>
                <w:b w:val="0"/>
                <w:color w:val="000000"/>
              </w:rPr>
              <w:t>i procedurami Pośrednika Finansowego.</w:t>
            </w:r>
          </w:p>
          <w:p w:rsidR="003435BE" w:rsidRPr="00F20D6A" w:rsidRDefault="003435BE" w:rsidP="003435BE">
            <w:pPr>
              <w:numPr>
                <w:ilvl w:val="0"/>
                <w:numId w:val="21"/>
              </w:numPr>
              <w:tabs>
                <w:tab w:val="left" w:pos="-5670"/>
                <w:tab w:val="left" w:pos="-3969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b w:val="0"/>
                <w:color w:val="000000"/>
              </w:rPr>
            </w:pPr>
            <w:r w:rsidRPr="00537916">
              <w:rPr>
                <w:rFonts w:asciiTheme="minorHAnsi" w:hAnsiTheme="minorHAnsi" w:cstheme="minorHAnsi"/>
                <w:b w:val="0"/>
                <w:color w:val="000000"/>
              </w:rPr>
              <w:t xml:space="preserve">Środki 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 xml:space="preserve">odzyskane </w:t>
            </w:r>
            <w:r w:rsidRPr="00537916">
              <w:rPr>
                <w:rFonts w:asciiTheme="minorHAnsi" w:hAnsiTheme="minorHAnsi" w:cstheme="minorHAnsi"/>
                <w:b w:val="0"/>
                <w:color w:val="000000"/>
              </w:rPr>
              <w:t xml:space="preserve">w ramach postępowania windykacyjnego od Odbiorcy 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>Ostatecznego</w:t>
            </w:r>
            <w:r w:rsidRPr="00537916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  <w:r w:rsidRPr="00537916">
              <w:rPr>
                <w:rFonts w:asciiTheme="minorHAnsi" w:hAnsiTheme="minorHAnsi" w:cstheme="minorHAnsi"/>
                <w:b w:val="0"/>
                <w:color w:val="000000"/>
              </w:rPr>
              <w:br/>
              <w:t xml:space="preserve">z tytułu wypłaty poręczenia przekazywane są 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>na rachunek</w:t>
            </w:r>
            <w:r w:rsidRPr="00537916">
              <w:rPr>
                <w:rFonts w:asciiTheme="minorHAnsi" w:hAnsiTheme="minorHAnsi" w:cstheme="minorHAnsi"/>
                <w:b w:val="0"/>
                <w:color w:val="000000"/>
              </w:rPr>
              <w:t xml:space="preserve"> bankowy 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 xml:space="preserve">z Wkładem z Programu </w:t>
            </w:r>
            <w:r w:rsidRPr="00537916">
              <w:rPr>
                <w:rFonts w:asciiTheme="minorHAnsi" w:hAnsiTheme="minorHAnsi" w:cstheme="minorHAnsi"/>
                <w:b w:val="0"/>
                <w:color w:val="000000"/>
              </w:rPr>
              <w:t xml:space="preserve">w 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>udziale procentowym odpowiadającym udz</w:t>
            </w:r>
            <w:r w:rsidR="00331F22">
              <w:rPr>
                <w:rFonts w:asciiTheme="minorHAnsi" w:hAnsiTheme="minorHAnsi" w:cstheme="minorHAnsi"/>
                <w:b w:val="0"/>
                <w:color w:val="000000"/>
              </w:rPr>
              <w:t xml:space="preserve">iałowi środków </w:t>
            </w:r>
            <w:r w:rsidR="00331F22" w:rsidRPr="00F20D6A">
              <w:rPr>
                <w:rFonts w:asciiTheme="minorHAnsi" w:hAnsiTheme="minorHAnsi" w:cstheme="minorHAnsi"/>
                <w:b w:val="0"/>
              </w:rPr>
              <w:t xml:space="preserve">Wkładu z Programu </w:t>
            </w:r>
            <w:r w:rsidR="00331F22" w:rsidRPr="00F20D6A">
              <w:rPr>
                <w:rFonts w:asciiTheme="minorHAnsi" w:hAnsiTheme="minorHAnsi" w:cstheme="minorHAnsi"/>
                <w:b w:val="0"/>
              </w:rPr>
              <w:br/>
              <w:t xml:space="preserve">w </w:t>
            </w:r>
            <w:r w:rsidRPr="00F20D6A">
              <w:rPr>
                <w:rFonts w:asciiTheme="minorHAnsi" w:hAnsiTheme="minorHAnsi" w:cstheme="minorHAnsi"/>
                <w:b w:val="0"/>
              </w:rPr>
              <w:t xml:space="preserve">przedmiotowym poręczeniu. </w:t>
            </w:r>
            <w:r w:rsidRPr="00F20D6A">
              <w:rPr>
                <w:rFonts w:asciiTheme="minorHAnsi" w:hAnsiTheme="minorHAnsi" w:cstheme="minorHAnsi"/>
              </w:rPr>
              <w:t xml:space="preserve"> </w:t>
            </w:r>
          </w:p>
          <w:p w:rsidR="00F20D6A" w:rsidRDefault="00F20D6A" w:rsidP="00F20D6A">
            <w:pPr>
              <w:tabs>
                <w:tab w:val="left" w:pos="-5670"/>
                <w:tab w:val="left" w:pos="-3969"/>
              </w:tabs>
              <w:spacing w:before="120"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F20D6A" w:rsidRDefault="00F20D6A" w:rsidP="00F20D6A">
            <w:pPr>
              <w:tabs>
                <w:tab w:val="left" w:pos="-5670"/>
                <w:tab w:val="left" w:pos="-3969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20D6A" w:rsidRPr="002838DF" w:rsidRDefault="00F20D6A" w:rsidP="00F20D6A">
            <w:pPr>
              <w:tabs>
                <w:tab w:val="left" w:pos="-5670"/>
                <w:tab w:val="left" w:pos="-3969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</w:tr>
      <w:tr w:rsidR="003435BE" w:rsidRPr="00707369" w:rsidTr="00C53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BE" w:rsidRPr="00707369" w:rsidRDefault="003435BE" w:rsidP="003435BE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Niewykorzystany Wkład Funduszu Funduszy</w:t>
            </w:r>
          </w:p>
          <w:p w:rsidR="003435BE" w:rsidRPr="00707369" w:rsidRDefault="003435BE" w:rsidP="003435B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3435BE" w:rsidRPr="00D20114" w:rsidTr="0088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EF5"/>
          </w:tcPr>
          <w:p w:rsidR="00EC1F7D" w:rsidRDefault="003435BE" w:rsidP="00EC1F7D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Środki niewykorzystane przez </w:t>
            </w:r>
            <w:r w:rsidR="001358EA">
              <w:rPr>
                <w:rFonts w:asciiTheme="minorHAnsi" w:hAnsiTheme="minorHAnsi" w:cstheme="minorHAnsi"/>
                <w:b w:val="0"/>
                <w:sz w:val="22"/>
                <w:szCs w:val="22"/>
              </w:rPr>
              <w:t>Pośrednika Finansowego</w:t>
            </w:r>
            <w:r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EC1F7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na budowę portfela nowych pożyczek/kredytów objętych poręczeniem </w:t>
            </w:r>
            <w:r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>zostają zwró</w:t>
            </w:r>
            <w:r w:rsidR="00EC1F7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cone do Menadżera Funduszu Funduszy. </w:t>
            </w:r>
          </w:p>
          <w:p w:rsidR="003435BE" w:rsidRPr="00910917" w:rsidRDefault="003435BE" w:rsidP="00EC1F7D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Po zakończeniu Okresu Budowy Portfela Pośrednik Finansowy zwraca niewykorzystany Wkład Funduszu Funduszy na odpowiedni </w:t>
            </w:r>
            <w:r w:rsidR="00990F94">
              <w:rPr>
                <w:rFonts w:asciiTheme="minorHAnsi" w:hAnsiTheme="minorHAnsi" w:cstheme="minorHAnsi"/>
                <w:b w:val="0"/>
                <w:sz w:val="22"/>
                <w:szCs w:val="22"/>
              </w:rPr>
              <w:t>rachunek</w:t>
            </w:r>
            <w:r w:rsidR="00EC1F7D"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990F94">
              <w:rPr>
                <w:rFonts w:asciiTheme="minorHAnsi" w:hAnsiTheme="minorHAnsi" w:cstheme="minorHAnsi"/>
                <w:b w:val="0"/>
                <w:sz w:val="22"/>
                <w:szCs w:val="22"/>
              </w:rPr>
              <w:t>bankowy.</w:t>
            </w:r>
            <w:r w:rsidR="00EC1F7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3435BE" w:rsidRPr="00707369" w:rsidTr="00C53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BE" w:rsidRPr="00707369" w:rsidRDefault="003435BE" w:rsidP="003435BE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Zapłata kar umownych</w:t>
            </w:r>
          </w:p>
          <w:p w:rsidR="003435BE" w:rsidRPr="00707369" w:rsidRDefault="003435BE" w:rsidP="003435B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3435BE" w:rsidRPr="00D20114" w:rsidTr="0088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EF5"/>
          </w:tcPr>
          <w:p w:rsidR="003435BE" w:rsidRPr="00D20114" w:rsidRDefault="003435BE" w:rsidP="003435BE">
            <w:pPr>
              <w:pStyle w:val="Akapitzlist"/>
              <w:numPr>
                <w:ilvl w:val="3"/>
                <w:numId w:val="10"/>
              </w:numPr>
              <w:ind w:left="709" w:hanging="283"/>
              <w:jc w:val="both"/>
              <w:rPr>
                <w:rFonts w:asciiTheme="minorHAnsi" w:hAnsiTheme="minorHAnsi" w:cstheme="minorHAnsi"/>
                <w:b w:val="0"/>
              </w:rPr>
            </w:pPr>
            <w:r w:rsidRPr="00D20114">
              <w:rPr>
                <w:rFonts w:asciiTheme="minorHAnsi" w:hAnsiTheme="minorHAnsi" w:cstheme="minorHAnsi"/>
                <w:b w:val="0"/>
              </w:rPr>
              <w:t xml:space="preserve">Kara umowna jest wpłacana przez Pośrednika Finansowego na wskazany przez Menadżera Rachunek Bankowy Funduszu Funduszy w terminie 30 dni kalendarzowych od dnia </w:t>
            </w:r>
            <w:r>
              <w:rPr>
                <w:rFonts w:asciiTheme="minorHAnsi" w:hAnsiTheme="minorHAnsi" w:cstheme="minorHAnsi"/>
                <w:b w:val="0"/>
              </w:rPr>
              <w:t xml:space="preserve">otrzymania </w:t>
            </w:r>
            <w:r w:rsidRPr="00D20114">
              <w:rPr>
                <w:rFonts w:asciiTheme="minorHAnsi" w:hAnsiTheme="minorHAnsi" w:cstheme="minorHAnsi"/>
                <w:b w:val="0"/>
              </w:rPr>
              <w:t>wezwania do zapłaty kary.</w:t>
            </w:r>
          </w:p>
        </w:tc>
      </w:tr>
      <w:tr w:rsidR="003435BE" w:rsidRPr="00707369" w:rsidTr="00C53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BE" w:rsidRPr="00707369" w:rsidRDefault="003435BE" w:rsidP="003435BE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Wypłata wynagrodzenia Pośrednika Finansowego</w:t>
            </w:r>
          </w:p>
          <w:p w:rsidR="003435BE" w:rsidRPr="00707369" w:rsidRDefault="003435BE" w:rsidP="003435B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3435BE" w:rsidRPr="00F20D6A" w:rsidTr="0088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EF5"/>
          </w:tcPr>
          <w:p w:rsidR="003435BE" w:rsidRPr="00F20D6A" w:rsidRDefault="003435BE" w:rsidP="003435BE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Opłata za Zarządzanie wyliczana jest przez Menadżera Funduszu Funduszy na podstawie danych przekazanych przez Pośrednika Finansowego w Sprawozdaniach kwartalnych </w:t>
            </w:r>
            <w:r w:rsidR="006D4CCD"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i zależna jest od postępu rzeczowo – finansowego realizacji Umowy.</w:t>
            </w:r>
          </w:p>
          <w:p w:rsidR="003435BE" w:rsidRPr="00F20D6A" w:rsidRDefault="003435BE" w:rsidP="003435BE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Opłata za Zarządzanie wypłacana jest Pośrednikowi Finansowemu w okresach kwartalnych, na podstawie wystawionej przez Pośrednika Finansowego faktury/wniosku o wypłatę wynagrodzenia za wszystkie miesiące danego kwartału, w terminie 5 dni Roboczych od dnia jej dostarczenia do Menadżera FF.</w:t>
            </w:r>
          </w:p>
          <w:p w:rsidR="003435BE" w:rsidRPr="00F20D6A" w:rsidRDefault="003435BE" w:rsidP="003435BE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Faktura/wniosek o wypłatę wynagrodzenia o</w:t>
            </w:r>
            <w:r w:rsidRPr="00F20D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której mowa w pkt. 2 wystawiana jest przez Pośrednika Finansowego, po zatwierdzeniu Sprawozdania Kwartalnego przez Menadżera Funduszu Funduszy. </w:t>
            </w:r>
          </w:p>
          <w:p w:rsidR="003435BE" w:rsidRPr="00F20D6A" w:rsidRDefault="003435BE" w:rsidP="003435BE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przypadku, gdy Opłata za Zarządzanie zostanie wypłacona Pośrednikowi Finansowemu w sposób nienależny, w szczególności w związku z: </w:t>
            </w:r>
          </w:p>
          <w:p w:rsidR="003435BE" w:rsidRPr="00F20D6A" w:rsidRDefault="003435BE" w:rsidP="003435BE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zaangażowaniem Wkładu Funduszu Funduszy w sposób niezgodny z postanowieniami Umowy,</w:t>
            </w:r>
          </w:p>
          <w:p w:rsidR="003435BE" w:rsidRPr="00F20D6A" w:rsidRDefault="003435BE" w:rsidP="003435BE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niewykorzystaniem w części lub w całości Pożyczki przez Ostatecznego Odbiorcę na cele określone w Metryce Instrumentu Finansowego, </w:t>
            </w:r>
          </w:p>
          <w:p w:rsidR="003435BE" w:rsidRPr="00F20D6A" w:rsidRDefault="003435BE" w:rsidP="003435BE">
            <w:pPr>
              <w:pStyle w:val="Default"/>
              <w:ind w:left="71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kwota odpowiadająca nienależnej Opłacie za Zarządzan</w:t>
            </w:r>
            <w:r w:rsidR="006D4CCD"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ie podlega zwrotowi na Rachunek Bankowy Funduszu Funduszy, z którego</w:t>
            </w: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Pośrednik Finansowy otrzymał nienależną Opłatę za Zarządzanie, wraz z odsetkami jak dla zaległości podatkowych obliczanych od dnia wypłaty nienależnej Opłaty za Zarządzanie, do dnia jej zwrotu lub kompensaty, o której mowa w pkt.6. poniżej. </w:t>
            </w:r>
          </w:p>
          <w:p w:rsidR="003435BE" w:rsidRPr="00F20D6A" w:rsidRDefault="003435BE" w:rsidP="003435BE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Pośrednik Finansowy zwraca nienależną Opłatę za Zarządzanie: </w:t>
            </w:r>
          </w:p>
          <w:p w:rsidR="003435BE" w:rsidRPr="00F20D6A" w:rsidRDefault="003435BE" w:rsidP="003435BE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niezwłocznie, po konsultacji z Menadżerem, lecz bez jego wezwania, w przypadku zidentyfikowania przez Pośrednika Finansowego nienależnie otrzymanej Opłaty za Zarządzanie,</w:t>
            </w:r>
          </w:p>
          <w:p w:rsidR="003435BE" w:rsidRPr="00F20D6A" w:rsidRDefault="003435BE" w:rsidP="003435BE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w ciągu 3 Dni Roboczych od dnia wezwania Pośrednika Finansowego przez Menadżera, w przypadku zidentyfikowania przez Menadżera nienależnie wypłaconej Opłaty za Zarządzanie.</w:t>
            </w:r>
          </w:p>
          <w:p w:rsidR="003435BE" w:rsidRPr="00F20D6A" w:rsidRDefault="003435BE" w:rsidP="003435BE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20D6A">
              <w:rPr>
                <w:rFonts w:asciiTheme="minorHAnsi" w:hAnsiTheme="minorHAnsi" w:cstheme="minorHAnsi"/>
                <w:b w:val="0"/>
                <w:sz w:val="22"/>
                <w:szCs w:val="22"/>
              </w:rPr>
              <w:t>Menadżer ma prawo do dokonania potrącenia wymagalnych zobowiązań Pośrednika Finansowego z tytułu Umowy z wszelkimi wymagalnymi zobowiązaniami Menadżera wobec Pośrednika Finansowego, w tym z tytułu należnej mu Opłaty za Zarządzanie.</w:t>
            </w:r>
          </w:p>
        </w:tc>
      </w:tr>
      <w:tr w:rsidR="003435BE" w:rsidRPr="00707369" w:rsidTr="00887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5BE" w:rsidRPr="00707369" w:rsidRDefault="003435BE" w:rsidP="003435BE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D240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Postępowanie z należnościami przeterminowanymi</w:t>
            </w:r>
          </w:p>
          <w:p w:rsidR="003435BE" w:rsidRPr="00707369" w:rsidRDefault="003435BE" w:rsidP="003435B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3435BE" w:rsidRPr="00D20114" w:rsidTr="00887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FEEF5"/>
          </w:tcPr>
          <w:p w:rsidR="003435BE" w:rsidRPr="00D20114" w:rsidRDefault="003435BE" w:rsidP="003435B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Menadżer monitoruje terminowość wpływu należności z tytułu: </w:t>
            </w:r>
          </w:p>
          <w:p w:rsidR="003435BE" w:rsidRPr="00D20114" w:rsidRDefault="003435BE" w:rsidP="003435BE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Zasobów Zwróconych, </w:t>
            </w:r>
          </w:p>
          <w:p w:rsidR="003435BE" w:rsidRPr="00D20114" w:rsidRDefault="003435BE" w:rsidP="003435BE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Przychodów Funduszu Funduszy, </w:t>
            </w:r>
          </w:p>
          <w:p w:rsidR="003435BE" w:rsidRPr="00D20114" w:rsidRDefault="003435BE" w:rsidP="003435BE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kar umownych, </w:t>
            </w:r>
          </w:p>
          <w:p w:rsidR="003435BE" w:rsidRPr="00D20114" w:rsidRDefault="003435BE" w:rsidP="003435BE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nienależnej Opłaty za Zarzą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dzanie, </w:t>
            </w:r>
          </w:p>
          <w:p w:rsidR="003435BE" w:rsidRPr="00D20114" w:rsidRDefault="003435BE" w:rsidP="003435B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przypadku stwierdzenia braku wpływu należności, o których mowa w pkt.1, Menadżer wzywa w formie pisemnej Pośrednika Finansowego do spłaty należności, wyznaczając dodatkowy termin spłaty należności. Pośrednik Finansowy tym samym będzie zobowiązany do zwrotu należności wraz z odsetkami w wysokości określonej jak dla zaległości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podatkowych.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Odsetek za zwłokę nie nalicza się, jeżeli wysokość odsetek nie przekracza trzykrotności wartości opłaty pobieranej przez operatora wyznaczonego w rozumieniu ustawy z dnia 23 listopada 2012 r. – Prawo pocztowe za traktowanie przesyłki listowej jako przesyłki poleconej. </w:t>
            </w:r>
          </w:p>
          <w:p w:rsidR="003435BE" w:rsidRPr="00D20114" w:rsidRDefault="003435BE" w:rsidP="003435B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Dodatkowy termin spłaty należności ustalany jest na</w:t>
            </w:r>
            <w:r w:rsidRPr="00D20114"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  <w:t xml:space="preserve">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5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Dni Roboczych od dnia otrzymania wezwania, o którym mowa w pkt.2. powyżej. </w:t>
            </w:r>
          </w:p>
          <w:p w:rsidR="003435BE" w:rsidRPr="00D20114" w:rsidRDefault="003435BE" w:rsidP="003435B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Brak spłaty należności, o których mowa w pkt. 1. 1) – 2) powyżej, stanowi podstawę do niezatwierdzenia Sprawozdania kwartalnego oraz może stanowić przesłankę do wypowiedzenia Umowy przez Menadżera. </w:t>
            </w:r>
          </w:p>
        </w:tc>
      </w:tr>
    </w:tbl>
    <w:p w:rsidR="008B0263" w:rsidRDefault="008B0263"/>
    <w:sectPr w:rsidR="008B0263" w:rsidSect="00BA3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2A2" w:rsidRDefault="004E12A2" w:rsidP="008B0263">
      <w:pPr>
        <w:spacing w:after="0" w:line="240" w:lineRule="auto"/>
      </w:pPr>
      <w:r>
        <w:separator/>
      </w:r>
    </w:p>
  </w:endnote>
  <w:endnote w:type="continuationSeparator" w:id="0">
    <w:p w:rsidR="004E12A2" w:rsidRDefault="004E12A2" w:rsidP="008B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698" w:rsidRDefault="000236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5241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856FE" w:rsidRDefault="002856FE">
            <w:pPr>
              <w:pStyle w:val="Stopka"/>
              <w:jc w:val="center"/>
            </w:pPr>
            <w:r w:rsidRPr="002856FE">
              <w:rPr>
                <w:bCs/>
                <w:sz w:val="24"/>
                <w:szCs w:val="24"/>
              </w:rPr>
              <w:fldChar w:fldCharType="begin"/>
            </w:r>
            <w:r w:rsidRPr="002856FE">
              <w:rPr>
                <w:bCs/>
              </w:rPr>
              <w:instrText>PAGE</w:instrText>
            </w:r>
            <w:r w:rsidRPr="002856FE">
              <w:rPr>
                <w:bCs/>
                <w:sz w:val="24"/>
                <w:szCs w:val="24"/>
              </w:rPr>
              <w:fldChar w:fldCharType="separate"/>
            </w:r>
            <w:r w:rsidR="00F16CC4">
              <w:rPr>
                <w:bCs/>
                <w:noProof/>
              </w:rPr>
              <w:t>3</w:t>
            </w:r>
            <w:r w:rsidRPr="002856FE">
              <w:rPr>
                <w:bCs/>
                <w:sz w:val="24"/>
                <w:szCs w:val="24"/>
              </w:rPr>
              <w:fldChar w:fldCharType="end"/>
            </w:r>
            <w:r w:rsidRPr="002856FE">
              <w:t xml:space="preserve"> z </w:t>
            </w:r>
            <w:r w:rsidRPr="002856FE">
              <w:rPr>
                <w:bCs/>
                <w:sz w:val="24"/>
                <w:szCs w:val="24"/>
              </w:rPr>
              <w:fldChar w:fldCharType="begin"/>
            </w:r>
            <w:r w:rsidRPr="002856FE">
              <w:rPr>
                <w:bCs/>
              </w:rPr>
              <w:instrText>NUMPAGES</w:instrText>
            </w:r>
            <w:r w:rsidRPr="002856FE">
              <w:rPr>
                <w:bCs/>
                <w:sz w:val="24"/>
                <w:szCs w:val="24"/>
              </w:rPr>
              <w:fldChar w:fldCharType="separate"/>
            </w:r>
            <w:r w:rsidR="00F16CC4">
              <w:rPr>
                <w:bCs/>
                <w:noProof/>
              </w:rPr>
              <w:t>6</w:t>
            </w:r>
            <w:r w:rsidRPr="002856F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4D5A" w:rsidRDefault="00444D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698" w:rsidRDefault="000236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2A2" w:rsidRDefault="004E12A2" w:rsidP="008B0263">
      <w:pPr>
        <w:spacing w:after="0" w:line="240" w:lineRule="auto"/>
      </w:pPr>
      <w:r>
        <w:separator/>
      </w:r>
    </w:p>
  </w:footnote>
  <w:footnote w:type="continuationSeparator" w:id="0">
    <w:p w:rsidR="004E12A2" w:rsidRDefault="004E12A2" w:rsidP="008B0263">
      <w:pPr>
        <w:spacing w:after="0" w:line="240" w:lineRule="auto"/>
      </w:pPr>
      <w:r>
        <w:continuationSeparator/>
      </w:r>
    </w:p>
  </w:footnote>
  <w:footnote w:id="1">
    <w:p w:rsidR="0014035F" w:rsidRDefault="001403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16CC4">
        <w:t>W przypadku uzyskania przez Menadżera Funduszu stosownych interpretacji lub wytycznych możliwa</w:t>
      </w:r>
      <w:r>
        <w:t xml:space="preserve"> </w:t>
      </w:r>
      <w:r w:rsidR="00F16CC4">
        <w:t xml:space="preserve">będzie zmiana dokumentów rozliczających przyznaną pożyczkę/kredyt.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698" w:rsidRDefault="000236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D5A" w:rsidRDefault="00444D5A" w:rsidP="008B0263">
    <w:pPr>
      <w:pStyle w:val="Nagwek"/>
    </w:pPr>
    <w:r>
      <w:t xml:space="preserve">                      </w:t>
    </w:r>
    <w:r>
      <w:ptab w:relativeTo="margin" w:alignment="center" w:leader="none"/>
    </w:r>
    <w:r>
      <w:ptab w:relativeTo="margin" w:alignment="right" w:leader="none"/>
    </w:r>
  </w:p>
  <w:p w:rsidR="00444D5A" w:rsidRDefault="0044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698" w:rsidRDefault="00BA31C4">
    <w:pPr>
      <w:pStyle w:val="Nagwek"/>
    </w:pPr>
    <w:r w:rsidRPr="00C510F8">
      <w:rPr>
        <w:noProof/>
      </w:rPr>
      <w:drawing>
        <wp:inline distT="0" distB="0" distL="0" distR="0" wp14:anchorId="15533F67" wp14:editId="35B3FF3A">
          <wp:extent cx="5760720" cy="608965"/>
          <wp:effectExtent l="0" t="0" r="0" b="635"/>
          <wp:docPr id="3" name="Obraz 3" descr="W:\Logotypy\loga projektu RPO 2014-2020 - od 2018 roku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otypy\loga projektu RPO 2014-2020 - od 2018 roku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EFB"/>
    <w:multiLevelType w:val="hybridMultilevel"/>
    <w:tmpl w:val="FC06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F25A8"/>
    <w:multiLevelType w:val="hybridMultilevel"/>
    <w:tmpl w:val="D386746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885DF8"/>
    <w:multiLevelType w:val="hybridMultilevel"/>
    <w:tmpl w:val="268E949E"/>
    <w:lvl w:ilvl="0" w:tplc="0E72A5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F08BB"/>
    <w:multiLevelType w:val="hybridMultilevel"/>
    <w:tmpl w:val="20629A3C"/>
    <w:lvl w:ilvl="0" w:tplc="067660E2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5E34AF0"/>
    <w:multiLevelType w:val="hybridMultilevel"/>
    <w:tmpl w:val="38C42156"/>
    <w:lvl w:ilvl="0" w:tplc="BA26CF4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6CF2654"/>
    <w:multiLevelType w:val="hybridMultilevel"/>
    <w:tmpl w:val="FC92F436"/>
    <w:lvl w:ilvl="0" w:tplc="49907E20">
      <w:start w:val="1"/>
      <w:numFmt w:val="decimal"/>
      <w:lvlText w:val="%1."/>
      <w:lvlJc w:val="left"/>
      <w:pPr>
        <w:ind w:left="717" w:hanging="360"/>
      </w:pPr>
      <w:rPr>
        <w:b w:val="0"/>
        <w:color w:val="000000" w:themeColor="text1"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907581A"/>
    <w:multiLevelType w:val="hybridMultilevel"/>
    <w:tmpl w:val="D21AA624"/>
    <w:lvl w:ilvl="0" w:tplc="5EBCA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F0CDD"/>
    <w:multiLevelType w:val="hybridMultilevel"/>
    <w:tmpl w:val="BC6400CE"/>
    <w:lvl w:ilvl="0" w:tplc="8E165CA6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B5A4D69"/>
    <w:multiLevelType w:val="hybridMultilevel"/>
    <w:tmpl w:val="2E062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54F05"/>
    <w:multiLevelType w:val="hybridMultilevel"/>
    <w:tmpl w:val="A0AEB29C"/>
    <w:lvl w:ilvl="0" w:tplc="F308313E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1DE4D96"/>
    <w:multiLevelType w:val="hybridMultilevel"/>
    <w:tmpl w:val="80E4463C"/>
    <w:lvl w:ilvl="0" w:tplc="7C4CF5C0">
      <w:start w:val="1"/>
      <w:numFmt w:val="decimal"/>
      <w:lvlText w:val="%1)"/>
      <w:lvlJc w:val="left"/>
      <w:pPr>
        <w:ind w:left="107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4751A50"/>
    <w:multiLevelType w:val="hybridMultilevel"/>
    <w:tmpl w:val="A7E47B82"/>
    <w:lvl w:ilvl="0" w:tplc="793683BE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AA16F2E"/>
    <w:multiLevelType w:val="hybridMultilevel"/>
    <w:tmpl w:val="003C548C"/>
    <w:lvl w:ilvl="0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 w15:restartNumberingAfterBreak="0">
    <w:nsid w:val="3ED81625"/>
    <w:multiLevelType w:val="hybridMultilevel"/>
    <w:tmpl w:val="2BDAA980"/>
    <w:lvl w:ilvl="0" w:tplc="CC440B62">
      <w:start w:val="1"/>
      <w:numFmt w:val="decimal"/>
      <w:lvlText w:val="%1)"/>
      <w:lvlJc w:val="left"/>
      <w:pPr>
        <w:ind w:left="1068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D5901"/>
    <w:multiLevelType w:val="hybridMultilevel"/>
    <w:tmpl w:val="E77E78AC"/>
    <w:lvl w:ilvl="0" w:tplc="007AC1D4">
      <w:start w:val="1"/>
      <w:numFmt w:val="decimal"/>
      <w:lvlText w:val="%1."/>
      <w:lvlJc w:val="left"/>
      <w:pPr>
        <w:ind w:left="717" w:hanging="360"/>
      </w:pPr>
      <w:rPr>
        <w:rFonts w:ascii="Calibri" w:eastAsiaTheme="minorHAnsi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5E15A16"/>
    <w:multiLevelType w:val="hybridMultilevel"/>
    <w:tmpl w:val="FD9E2D08"/>
    <w:lvl w:ilvl="0" w:tplc="D1A06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D983D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6FA8D0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192E35"/>
    <w:multiLevelType w:val="hybridMultilevel"/>
    <w:tmpl w:val="FC06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02081"/>
    <w:multiLevelType w:val="hybridMultilevel"/>
    <w:tmpl w:val="2E062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A7BFD"/>
    <w:multiLevelType w:val="hybridMultilevel"/>
    <w:tmpl w:val="2806E0E6"/>
    <w:lvl w:ilvl="0" w:tplc="1130D970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26D47F0"/>
    <w:multiLevelType w:val="hybridMultilevel"/>
    <w:tmpl w:val="C646E362"/>
    <w:lvl w:ilvl="0" w:tplc="91AA8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B804E2"/>
    <w:multiLevelType w:val="hybridMultilevel"/>
    <w:tmpl w:val="CB9CADF0"/>
    <w:lvl w:ilvl="0" w:tplc="7AA45C1A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9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1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63"/>
    <w:rsid w:val="00014CFB"/>
    <w:rsid w:val="00023698"/>
    <w:rsid w:val="00047991"/>
    <w:rsid w:val="00052626"/>
    <w:rsid w:val="000678B3"/>
    <w:rsid w:val="00072022"/>
    <w:rsid w:val="000722AC"/>
    <w:rsid w:val="00082957"/>
    <w:rsid w:val="0008728F"/>
    <w:rsid w:val="000A34A9"/>
    <w:rsid w:val="00103CFC"/>
    <w:rsid w:val="00122598"/>
    <w:rsid w:val="00130C44"/>
    <w:rsid w:val="001358EA"/>
    <w:rsid w:val="00136EE1"/>
    <w:rsid w:val="0014035F"/>
    <w:rsid w:val="00153F02"/>
    <w:rsid w:val="001B2FD0"/>
    <w:rsid w:val="001C1A52"/>
    <w:rsid w:val="001C2BC4"/>
    <w:rsid w:val="001D08FB"/>
    <w:rsid w:val="001E3504"/>
    <w:rsid w:val="001F4BEB"/>
    <w:rsid w:val="00212358"/>
    <w:rsid w:val="00225B85"/>
    <w:rsid w:val="0026230A"/>
    <w:rsid w:val="002753CB"/>
    <w:rsid w:val="002761ED"/>
    <w:rsid w:val="002838DF"/>
    <w:rsid w:val="002856FE"/>
    <w:rsid w:val="002874DC"/>
    <w:rsid w:val="002965AC"/>
    <w:rsid w:val="002B2024"/>
    <w:rsid w:val="002E0135"/>
    <w:rsid w:val="003144EC"/>
    <w:rsid w:val="00322479"/>
    <w:rsid w:val="00331F22"/>
    <w:rsid w:val="00341CEE"/>
    <w:rsid w:val="003435BE"/>
    <w:rsid w:val="003560E3"/>
    <w:rsid w:val="00366F75"/>
    <w:rsid w:val="00371A47"/>
    <w:rsid w:val="003764E4"/>
    <w:rsid w:val="003841F0"/>
    <w:rsid w:val="003A770F"/>
    <w:rsid w:val="003D64FD"/>
    <w:rsid w:val="003F1753"/>
    <w:rsid w:val="003F549C"/>
    <w:rsid w:val="0040121F"/>
    <w:rsid w:val="00411A3B"/>
    <w:rsid w:val="004244AE"/>
    <w:rsid w:val="004400D3"/>
    <w:rsid w:val="00444D5A"/>
    <w:rsid w:val="0044644E"/>
    <w:rsid w:val="00463FD7"/>
    <w:rsid w:val="004710DF"/>
    <w:rsid w:val="00491F58"/>
    <w:rsid w:val="004A193A"/>
    <w:rsid w:val="004B264E"/>
    <w:rsid w:val="004C1229"/>
    <w:rsid w:val="004E12A2"/>
    <w:rsid w:val="004F720E"/>
    <w:rsid w:val="00520D2D"/>
    <w:rsid w:val="0052384F"/>
    <w:rsid w:val="00537916"/>
    <w:rsid w:val="005408C3"/>
    <w:rsid w:val="00546DAB"/>
    <w:rsid w:val="005539F5"/>
    <w:rsid w:val="00577CD3"/>
    <w:rsid w:val="005930E3"/>
    <w:rsid w:val="005A13FD"/>
    <w:rsid w:val="005C1F0E"/>
    <w:rsid w:val="00620DAD"/>
    <w:rsid w:val="00621934"/>
    <w:rsid w:val="006240A5"/>
    <w:rsid w:val="00633F8F"/>
    <w:rsid w:val="00644B31"/>
    <w:rsid w:val="0065218E"/>
    <w:rsid w:val="00680A15"/>
    <w:rsid w:val="0068366E"/>
    <w:rsid w:val="006D4CCD"/>
    <w:rsid w:val="006F37B2"/>
    <w:rsid w:val="006F6F34"/>
    <w:rsid w:val="00707369"/>
    <w:rsid w:val="0071201C"/>
    <w:rsid w:val="007256D6"/>
    <w:rsid w:val="00726335"/>
    <w:rsid w:val="00726B36"/>
    <w:rsid w:val="0073567C"/>
    <w:rsid w:val="0074619A"/>
    <w:rsid w:val="0074725F"/>
    <w:rsid w:val="0077187C"/>
    <w:rsid w:val="00793158"/>
    <w:rsid w:val="007A1D8A"/>
    <w:rsid w:val="007A2593"/>
    <w:rsid w:val="007C1EA7"/>
    <w:rsid w:val="007D2404"/>
    <w:rsid w:val="007E4796"/>
    <w:rsid w:val="0080260E"/>
    <w:rsid w:val="0081656E"/>
    <w:rsid w:val="00825FE5"/>
    <w:rsid w:val="00867A8E"/>
    <w:rsid w:val="00875A1D"/>
    <w:rsid w:val="008771E0"/>
    <w:rsid w:val="008877D4"/>
    <w:rsid w:val="0089736B"/>
    <w:rsid w:val="008B0263"/>
    <w:rsid w:val="008B7891"/>
    <w:rsid w:val="008F354B"/>
    <w:rsid w:val="00902B7F"/>
    <w:rsid w:val="00905E42"/>
    <w:rsid w:val="00910917"/>
    <w:rsid w:val="00910EAF"/>
    <w:rsid w:val="00913A2F"/>
    <w:rsid w:val="009156D3"/>
    <w:rsid w:val="00917E91"/>
    <w:rsid w:val="0096674E"/>
    <w:rsid w:val="009676CE"/>
    <w:rsid w:val="00990F94"/>
    <w:rsid w:val="009E37C0"/>
    <w:rsid w:val="009E6F42"/>
    <w:rsid w:val="009F7345"/>
    <w:rsid w:val="00A05BC0"/>
    <w:rsid w:val="00A21F8E"/>
    <w:rsid w:val="00A34D45"/>
    <w:rsid w:val="00A620E0"/>
    <w:rsid w:val="00A70977"/>
    <w:rsid w:val="00A82AB8"/>
    <w:rsid w:val="00A91434"/>
    <w:rsid w:val="00AA4032"/>
    <w:rsid w:val="00AB0789"/>
    <w:rsid w:val="00AD4E66"/>
    <w:rsid w:val="00AF7087"/>
    <w:rsid w:val="00B34C3A"/>
    <w:rsid w:val="00B5733C"/>
    <w:rsid w:val="00B65FA9"/>
    <w:rsid w:val="00B711BB"/>
    <w:rsid w:val="00B777FD"/>
    <w:rsid w:val="00B92444"/>
    <w:rsid w:val="00B96241"/>
    <w:rsid w:val="00BA31C4"/>
    <w:rsid w:val="00BE20EE"/>
    <w:rsid w:val="00C10537"/>
    <w:rsid w:val="00C117E2"/>
    <w:rsid w:val="00C408CB"/>
    <w:rsid w:val="00C531F1"/>
    <w:rsid w:val="00C8622E"/>
    <w:rsid w:val="00CC15FA"/>
    <w:rsid w:val="00CC7D7A"/>
    <w:rsid w:val="00CE0B6C"/>
    <w:rsid w:val="00CE0CD5"/>
    <w:rsid w:val="00D02D94"/>
    <w:rsid w:val="00D20114"/>
    <w:rsid w:val="00D423B3"/>
    <w:rsid w:val="00D67621"/>
    <w:rsid w:val="00D72ED4"/>
    <w:rsid w:val="00D73B4D"/>
    <w:rsid w:val="00D77620"/>
    <w:rsid w:val="00D7790F"/>
    <w:rsid w:val="00DA2518"/>
    <w:rsid w:val="00DB20FE"/>
    <w:rsid w:val="00DC1604"/>
    <w:rsid w:val="00DC5513"/>
    <w:rsid w:val="00DD1F2F"/>
    <w:rsid w:val="00DD2AB4"/>
    <w:rsid w:val="00E20D6C"/>
    <w:rsid w:val="00E27844"/>
    <w:rsid w:val="00E30747"/>
    <w:rsid w:val="00E31215"/>
    <w:rsid w:val="00E46083"/>
    <w:rsid w:val="00E46F07"/>
    <w:rsid w:val="00E5348D"/>
    <w:rsid w:val="00E62C3D"/>
    <w:rsid w:val="00E65131"/>
    <w:rsid w:val="00E74120"/>
    <w:rsid w:val="00E91715"/>
    <w:rsid w:val="00EB0F06"/>
    <w:rsid w:val="00EB1C29"/>
    <w:rsid w:val="00EB7F9D"/>
    <w:rsid w:val="00EC1F7D"/>
    <w:rsid w:val="00ED3418"/>
    <w:rsid w:val="00EE68EC"/>
    <w:rsid w:val="00F15010"/>
    <w:rsid w:val="00F16CC4"/>
    <w:rsid w:val="00F20D6A"/>
    <w:rsid w:val="00F22A57"/>
    <w:rsid w:val="00F240A0"/>
    <w:rsid w:val="00F26451"/>
    <w:rsid w:val="00F31DEC"/>
    <w:rsid w:val="00F44F68"/>
    <w:rsid w:val="00F644BB"/>
    <w:rsid w:val="00F664C7"/>
    <w:rsid w:val="00F6696F"/>
    <w:rsid w:val="00FB7715"/>
    <w:rsid w:val="00FC3171"/>
    <w:rsid w:val="00F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5DB8B1E-8942-4EA7-8887-6AA61683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26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263"/>
  </w:style>
  <w:style w:type="paragraph" w:styleId="Stopka">
    <w:name w:val="footer"/>
    <w:basedOn w:val="Normalny"/>
    <w:link w:val="StopkaZnak"/>
    <w:uiPriority w:val="99"/>
    <w:unhideWhenUsed/>
    <w:rsid w:val="008B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263"/>
  </w:style>
  <w:style w:type="paragraph" w:styleId="Tekstdymka">
    <w:name w:val="Balloon Text"/>
    <w:basedOn w:val="Normalny"/>
    <w:link w:val="TekstdymkaZnak"/>
    <w:uiPriority w:val="99"/>
    <w:semiHidden/>
    <w:unhideWhenUsed/>
    <w:rsid w:val="008B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02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6230A"/>
    <w:pPr>
      <w:ind w:left="720"/>
      <w:contextualSpacing/>
    </w:pPr>
  </w:style>
  <w:style w:type="table" w:styleId="Jasnasiatkaakcent5">
    <w:name w:val="Light Grid Accent 5"/>
    <w:basedOn w:val="Standardowy"/>
    <w:uiPriority w:val="62"/>
    <w:rsid w:val="00D20114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03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03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0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52039-47DC-4442-8340-43CB1961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2291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wieczynska</dc:creator>
  <cp:keywords/>
  <dc:description/>
  <cp:lastModifiedBy>a.dzieciol</cp:lastModifiedBy>
  <cp:revision>4</cp:revision>
  <dcterms:created xsi:type="dcterms:W3CDTF">2017-11-17T10:29:00Z</dcterms:created>
  <dcterms:modified xsi:type="dcterms:W3CDTF">2018-05-09T07:34:00Z</dcterms:modified>
</cp:coreProperties>
</file>