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4B808" w14:textId="77777777" w:rsidR="00F65D38" w:rsidRPr="00793583" w:rsidRDefault="00F65D38" w:rsidP="00793583">
      <w:pPr>
        <w:spacing w:after="60" w:line="240" w:lineRule="auto"/>
        <w:jc w:val="center"/>
        <w:rPr>
          <w:color w:val="000000"/>
        </w:rPr>
      </w:pPr>
    </w:p>
    <w:p w14:paraId="45F4C580" w14:textId="77777777" w:rsidR="00F65D38" w:rsidRPr="00793583" w:rsidRDefault="00F65D38" w:rsidP="00793583">
      <w:pPr>
        <w:spacing w:after="60" w:line="240" w:lineRule="auto"/>
        <w:ind w:left="5103"/>
        <w:jc w:val="right"/>
        <w:rPr>
          <w:color w:val="000000"/>
        </w:rPr>
      </w:pPr>
      <w:bookmarkStart w:id="0" w:name="_Hlk492888380"/>
    </w:p>
    <w:p w14:paraId="5A499AFC" w14:textId="410157EB" w:rsidR="00F65D38" w:rsidRPr="00793583" w:rsidRDefault="00E6565C" w:rsidP="00793583">
      <w:pPr>
        <w:spacing w:after="60" w:line="240" w:lineRule="auto"/>
        <w:jc w:val="right"/>
        <w:rPr>
          <w:color w:val="000000"/>
        </w:rPr>
      </w:pPr>
      <w:bookmarkStart w:id="1" w:name="_Hlk492888242"/>
      <w:bookmarkEnd w:id="0"/>
      <w:bookmarkEnd w:id="1"/>
      <w:r w:rsidRPr="00793583">
        <w:rPr>
          <w:color w:val="000000"/>
        </w:rPr>
        <w:t xml:space="preserve">Toruń, dnia </w:t>
      </w:r>
      <w:r w:rsidR="000263B2">
        <w:rPr>
          <w:color w:val="000000"/>
        </w:rPr>
        <w:t>23.07</w:t>
      </w:r>
      <w:r w:rsidR="000C3398">
        <w:rPr>
          <w:color w:val="000000"/>
        </w:rPr>
        <w:t>.2020</w:t>
      </w:r>
      <w:r w:rsidRPr="00793583">
        <w:rPr>
          <w:color w:val="000000"/>
        </w:rPr>
        <w:t xml:space="preserve"> r. </w:t>
      </w:r>
    </w:p>
    <w:p w14:paraId="54CBAD6E" w14:textId="77777777" w:rsidR="00E6565C" w:rsidRPr="00793583" w:rsidRDefault="00E6565C" w:rsidP="00793583">
      <w:pPr>
        <w:spacing w:after="60" w:line="240" w:lineRule="auto"/>
        <w:jc w:val="center"/>
        <w:rPr>
          <w:color w:val="000000"/>
        </w:rPr>
      </w:pPr>
    </w:p>
    <w:p w14:paraId="24C946C7" w14:textId="51E9421D" w:rsidR="00C274AB" w:rsidRPr="00793583" w:rsidRDefault="0080450D" w:rsidP="00793583">
      <w:pPr>
        <w:spacing w:after="60" w:line="240" w:lineRule="auto"/>
        <w:jc w:val="center"/>
        <w:rPr>
          <w:color w:val="000000"/>
        </w:rPr>
      </w:pPr>
      <w:r w:rsidRPr="00793583">
        <w:rPr>
          <w:color w:val="000000"/>
        </w:rPr>
        <w:t xml:space="preserve">INFORMACJA O </w:t>
      </w:r>
      <w:r w:rsidR="000263B2">
        <w:rPr>
          <w:color w:val="000000"/>
        </w:rPr>
        <w:t>UDZIELENIU ZAMÓWIENIA</w:t>
      </w:r>
      <w:r w:rsidR="000F023F">
        <w:rPr>
          <w:color w:val="000000"/>
        </w:rPr>
        <w:t xml:space="preserve"> PUBLICZNE</w:t>
      </w:r>
      <w:r w:rsidR="000263B2">
        <w:rPr>
          <w:color w:val="000000"/>
        </w:rPr>
        <w:t>GO</w:t>
      </w:r>
    </w:p>
    <w:p w14:paraId="58AD16C2" w14:textId="77777777" w:rsidR="0080450D" w:rsidRPr="00793583" w:rsidRDefault="0080450D" w:rsidP="00793583">
      <w:pPr>
        <w:spacing w:after="60" w:line="240" w:lineRule="auto"/>
        <w:jc w:val="both"/>
        <w:rPr>
          <w:color w:val="000000"/>
        </w:rPr>
      </w:pPr>
    </w:p>
    <w:p w14:paraId="034F01D9" w14:textId="320DC665" w:rsidR="00CF1252" w:rsidRPr="00793583" w:rsidRDefault="00CF1252" w:rsidP="00793583">
      <w:pPr>
        <w:spacing w:after="60" w:line="240" w:lineRule="auto"/>
        <w:jc w:val="both"/>
      </w:pPr>
      <w:r w:rsidRPr="00793583">
        <w:t xml:space="preserve">Dotyczy </w:t>
      </w:r>
      <w:r w:rsidRPr="00793583">
        <w:rPr>
          <w:rFonts w:cs="Tahoma"/>
        </w:rPr>
        <w:t>postępowania o udzielenie zamówienia pn.</w:t>
      </w:r>
      <w:r w:rsidRPr="00793583">
        <w:rPr>
          <w:b/>
        </w:rPr>
        <w:t xml:space="preserve"> </w:t>
      </w:r>
      <w:r w:rsidRPr="000F023F">
        <w:rPr>
          <w:i/>
          <w:iCs/>
        </w:rPr>
        <w:t xml:space="preserve">„Wybór Pośrednika Finansowego w celu wdrożenia i zarządzania </w:t>
      </w:r>
      <w:r w:rsidR="00E6565C" w:rsidRPr="000F023F">
        <w:rPr>
          <w:i/>
          <w:iCs/>
        </w:rPr>
        <w:t>Instrumentem Finansowym</w:t>
      </w:r>
      <w:r w:rsidRPr="000F023F">
        <w:rPr>
          <w:i/>
          <w:iCs/>
        </w:rPr>
        <w:t xml:space="preserve"> - Fundusz Pożyczkowy, </w:t>
      </w:r>
      <w:r w:rsidR="000F023F" w:rsidRPr="000F023F">
        <w:rPr>
          <w:rFonts w:ascii="Calibri" w:eastAsia="Times New Roman" w:hAnsi="Calibri" w:cs="Calibri"/>
          <w:i/>
          <w:iCs/>
          <w:lang w:eastAsia="pl-PL"/>
        </w:rPr>
        <w:t>niezbędnego do przeciwdziałania negatywnym skutkom gospodarczym wystąpienia COVID-19</w:t>
      </w:r>
      <w:r w:rsidRPr="000F023F">
        <w:rPr>
          <w:i/>
          <w:iCs/>
        </w:rPr>
        <w:t>”</w:t>
      </w:r>
      <w:r w:rsidRPr="00793583">
        <w:t>,</w:t>
      </w:r>
      <w:r w:rsidR="000F023F">
        <w:t xml:space="preserve"> </w:t>
      </w:r>
      <w:r w:rsidRPr="00793583">
        <w:t>nr ref. KPFR/PF/WR/</w:t>
      </w:r>
      <w:r w:rsidR="00E81DEC">
        <w:t>5</w:t>
      </w:r>
      <w:r w:rsidRPr="00793583">
        <w:t>/20</w:t>
      </w:r>
      <w:r w:rsidR="00E81DEC">
        <w:t>20</w:t>
      </w:r>
      <w:r w:rsidRPr="00793583">
        <w:t>.</w:t>
      </w:r>
    </w:p>
    <w:p w14:paraId="09068E7E" w14:textId="77777777" w:rsidR="00CF1252" w:rsidRPr="00793583" w:rsidRDefault="00CF1252" w:rsidP="00793583">
      <w:pPr>
        <w:spacing w:after="60" w:line="240" w:lineRule="auto"/>
        <w:jc w:val="both"/>
        <w:rPr>
          <w:color w:val="000000"/>
        </w:rPr>
      </w:pPr>
    </w:p>
    <w:p w14:paraId="5B953524" w14:textId="32AFE5EA" w:rsidR="0080450D" w:rsidRDefault="00E81DEC" w:rsidP="00793583">
      <w:pPr>
        <w:spacing w:after="60" w:line="240" w:lineRule="auto"/>
        <w:jc w:val="both"/>
        <w:rPr>
          <w:i/>
          <w:color w:val="000000"/>
        </w:rPr>
      </w:pPr>
      <w:r w:rsidRPr="00E81DEC">
        <w:rPr>
          <w:i/>
          <w:color w:val="000000"/>
        </w:rPr>
        <w:t>Do przedmiotowego zamówienia nie mają zastosowania przepisy ustawy z dnia 29 stycznia 2004 r. – Prawo zamówień publicznych, zgodnie z wyłączen</w:t>
      </w:r>
      <w:r w:rsidR="000263B2">
        <w:rPr>
          <w:i/>
          <w:color w:val="000000"/>
        </w:rPr>
        <w:t>iem określonym w art. 6 ust. 2 u</w:t>
      </w:r>
      <w:r w:rsidRPr="00E81DEC">
        <w:rPr>
          <w:i/>
          <w:color w:val="000000"/>
        </w:rPr>
        <w:t xml:space="preserve">stawy z dnia 2 marca 2020 r. o szczególnych rozwiązaniach związanych z zapobieganiem, przeciwdziałaniem i zwalczaniem COVID-19, innych chorób zakaźnych oraz wywołanych nimi sytuacji kryzysowych (Dz. U. poz. 374 z </w:t>
      </w:r>
      <w:proofErr w:type="spellStart"/>
      <w:r w:rsidRPr="00E81DEC">
        <w:rPr>
          <w:i/>
          <w:color w:val="000000"/>
        </w:rPr>
        <w:t>późn</w:t>
      </w:r>
      <w:proofErr w:type="spellEnd"/>
      <w:r w:rsidRPr="00E81DEC">
        <w:rPr>
          <w:i/>
          <w:color w:val="000000"/>
        </w:rPr>
        <w:t>. zm.).</w:t>
      </w:r>
    </w:p>
    <w:p w14:paraId="06248DD9" w14:textId="77777777" w:rsidR="00F2459A" w:rsidRDefault="00F2459A" w:rsidP="00793583">
      <w:pPr>
        <w:spacing w:after="60" w:line="240" w:lineRule="auto"/>
        <w:jc w:val="both"/>
        <w:rPr>
          <w:i/>
          <w:color w:val="000000"/>
        </w:rPr>
      </w:pPr>
      <w:r>
        <w:rPr>
          <w:i/>
          <w:color w:val="000000"/>
        </w:rPr>
        <w:t xml:space="preserve">Zamówienie udzielane jest zgodnie z art. 12 </w:t>
      </w:r>
      <w:r w:rsidR="00247015">
        <w:rPr>
          <w:i/>
          <w:color w:val="000000"/>
        </w:rPr>
        <w:t xml:space="preserve">ust. 2 </w:t>
      </w:r>
      <w:r>
        <w:rPr>
          <w:i/>
          <w:color w:val="000000"/>
        </w:rPr>
        <w:t xml:space="preserve">Dyrektywy </w:t>
      </w:r>
      <w:r w:rsidR="00CE4BE7">
        <w:rPr>
          <w:i/>
          <w:color w:val="000000"/>
        </w:rPr>
        <w:t>Parlamentu Europejskiego i Rady 2014/24/UE z dnia 26 lutego 2014 r. w sprawie zamówień publicznych,  uchylającej dyrektywę 2004/18/WE.</w:t>
      </w:r>
    </w:p>
    <w:p w14:paraId="65123F6D" w14:textId="5FF670CA" w:rsidR="000263B2" w:rsidRPr="00E81DEC" w:rsidRDefault="000263B2" w:rsidP="00793583">
      <w:pPr>
        <w:spacing w:after="60" w:line="240" w:lineRule="auto"/>
        <w:jc w:val="both"/>
        <w:rPr>
          <w:i/>
          <w:color w:val="000000"/>
        </w:rPr>
      </w:pPr>
      <w:r>
        <w:rPr>
          <w:i/>
          <w:color w:val="000000"/>
        </w:rPr>
        <w:t xml:space="preserve">Niniejsza informacja udzielana jest na podstawie art. 6 ust. 4 ustawy z dnia 2 </w:t>
      </w:r>
      <w:r w:rsidRPr="00E81DEC">
        <w:rPr>
          <w:i/>
          <w:color w:val="000000"/>
        </w:rPr>
        <w:t xml:space="preserve">marca 2020 r. o szczególnych rozwiązaniach związanych z zapobieganiem, przeciwdziałaniem i zwalczaniem COVID-19, innych chorób zakaźnych oraz wywołanych nimi sytuacji kryzysowych (Dz. U. poz. 374 z </w:t>
      </w:r>
      <w:proofErr w:type="spellStart"/>
      <w:r w:rsidRPr="00E81DEC">
        <w:rPr>
          <w:i/>
          <w:color w:val="000000"/>
        </w:rPr>
        <w:t>późn</w:t>
      </w:r>
      <w:proofErr w:type="spellEnd"/>
      <w:r w:rsidRPr="00E81DEC">
        <w:rPr>
          <w:i/>
          <w:color w:val="000000"/>
        </w:rPr>
        <w:t>. zm.).</w:t>
      </w:r>
    </w:p>
    <w:p w14:paraId="436277FA" w14:textId="77777777" w:rsidR="003D68B0" w:rsidRPr="00793583" w:rsidRDefault="003D68B0" w:rsidP="00793583">
      <w:pPr>
        <w:spacing w:after="60" w:line="240" w:lineRule="auto"/>
        <w:jc w:val="both"/>
        <w:rPr>
          <w:color w:val="000000"/>
        </w:rPr>
      </w:pPr>
    </w:p>
    <w:p w14:paraId="33A189DD" w14:textId="77777777" w:rsidR="0080450D" w:rsidRPr="00793583" w:rsidRDefault="0080450D" w:rsidP="00793583">
      <w:pPr>
        <w:pStyle w:val="Akapitzlist"/>
        <w:numPr>
          <w:ilvl w:val="0"/>
          <w:numId w:val="1"/>
        </w:numPr>
        <w:spacing w:after="120" w:line="240" w:lineRule="auto"/>
        <w:ind w:left="284" w:hanging="284"/>
        <w:contextualSpacing w:val="0"/>
        <w:jc w:val="both"/>
        <w:rPr>
          <w:rStyle w:val="Pogrubienie"/>
          <w:rFonts w:cs="Times New Roman"/>
          <w:b w:val="0"/>
          <w:bCs w:val="0"/>
          <w:color w:val="000000"/>
        </w:rPr>
      </w:pPr>
      <w:r w:rsidRPr="00793583">
        <w:rPr>
          <w:rStyle w:val="Pogrubienie"/>
          <w:rFonts w:cs="Times New Roman"/>
        </w:rPr>
        <w:t>Nazwa i adres Zamawiającego</w:t>
      </w:r>
      <w:r w:rsidR="00431443" w:rsidRPr="00793583">
        <w:rPr>
          <w:rStyle w:val="Pogrubienie"/>
          <w:rFonts w:cs="Times New Roman"/>
        </w:rPr>
        <w:t>.</w:t>
      </w:r>
    </w:p>
    <w:p w14:paraId="5732A72B" w14:textId="77777777" w:rsidR="0080450D" w:rsidRPr="00793583" w:rsidRDefault="0080450D" w:rsidP="00793583">
      <w:pPr>
        <w:pStyle w:val="Akapitzlist"/>
        <w:spacing w:after="120" w:line="240" w:lineRule="auto"/>
        <w:ind w:left="284"/>
        <w:contextualSpacing w:val="0"/>
        <w:jc w:val="both"/>
        <w:rPr>
          <w:rStyle w:val="Pogrubienie"/>
          <w:rFonts w:cs="Times New Roman"/>
          <w:b w:val="0"/>
          <w:bCs w:val="0"/>
          <w:color w:val="000000"/>
        </w:rPr>
      </w:pPr>
      <w:r w:rsidRPr="00793583">
        <w:rPr>
          <w:rFonts w:cs="Times New Roman"/>
          <w:color w:val="000000"/>
        </w:rPr>
        <w:t>Kujawsko-Pomorski Fundusz Rozwoju sp. z o.o., ul. Przedzamcze 8, 87-100 Toruń.</w:t>
      </w:r>
    </w:p>
    <w:p w14:paraId="4D440C30" w14:textId="66CE2541" w:rsidR="0080450D" w:rsidRPr="00793583" w:rsidRDefault="000263B2" w:rsidP="00793583">
      <w:pPr>
        <w:pStyle w:val="Akapitzlist"/>
        <w:numPr>
          <w:ilvl w:val="0"/>
          <w:numId w:val="1"/>
        </w:numPr>
        <w:spacing w:after="120" w:line="240" w:lineRule="auto"/>
        <w:ind w:left="284" w:hanging="284"/>
        <w:contextualSpacing w:val="0"/>
        <w:jc w:val="both"/>
        <w:rPr>
          <w:rFonts w:cs="Times New Roman"/>
          <w:color w:val="000000"/>
        </w:rPr>
      </w:pPr>
      <w:r>
        <w:rPr>
          <w:rFonts w:eastAsia="Times New Roman" w:cs="Times New Roman"/>
          <w:b/>
          <w:bCs/>
          <w:lang w:eastAsia="pl-PL"/>
        </w:rPr>
        <w:t>Krótki opis</w:t>
      </w:r>
      <w:r w:rsidR="0080450D" w:rsidRPr="00793583">
        <w:rPr>
          <w:rFonts w:eastAsia="Times New Roman" w:cs="Times New Roman"/>
          <w:b/>
          <w:bCs/>
          <w:lang w:eastAsia="pl-PL"/>
        </w:rPr>
        <w:t xml:space="preserve"> przedmiotu zamówienia i wielkości zamówienia</w:t>
      </w:r>
      <w:r w:rsidR="00431443" w:rsidRPr="00793583">
        <w:rPr>
          <w:rFonts w:eastAsia="Times New Roman" w:cs="Times New Roman"/>
          <w:b/>
          <w:bCs/>
          <w:lang w:eastAsia="pl-PL"/>
        </w:rPr>
        <w:t>.</w:t>
      </w:r>
    </w:p>
    <w:p w14:paraId="56152D29" w14:textId="40D30390" w:rsidR="000F023F" w:rsidRPr="000F023F" w:rsidRDefault="004921B0" w:rsidP="000F023F">
      <w:pPr>
        <w:pStyle w:val="Default"/>
        <w:numPr>
          <w:ilvl w:val="0"/>
          <w:numId w:val="10"/>
        </w:numPr>
        <w:adjustRightInd/>
        <w:spacing w:after="138"/>
        <w:ind w:left="301" w:hanging="283"/>
        <w:jc w:val="both"/>
        <w:rPr>
          <w:rFonts w:asciiTheme="minorHAnsi" w:hAnsiTheme="minorHAnsi" w:cstheme="minorHAnsi"/>
          <w:sz w:val="22"/>
          <w:szCs w:val="22"/>
        </w:rPr>
      </w:pPr>
      <w:r w:rsidRPr="000F023F">
        <w:rPr>
          <w:sz w:val="22"/>
          <w:szCs w:val="22"/>
        </w:rPr>
        <w:t xml:space="preserve">Przedmiotem zamówienia jest </w:t>
      </w:r>
      <w:r w:rsidR="00317BAA" w:rsidRPr="000F023F">
        <w:rPr>
          <w:sz w:val="22"/>
          <w:szCs w:val="22"/>
        </w:rPr>
        <w:t>świadczenie przez Wykonawcę usługi wdrożenia i zarządzania</w:t>
      </w:r>
      <w:r w:rsidRPr="000F023F">
        <w:rPr>
          <w:sz w:val="22"/>
          <w:szCs w:val="22"/>
        </w:rPr>
        <w:t xml:space="preserve"> Instrumentem Finansowym</w:t>
      </w:r>
      <w:r w:rsidRPr="000F023F">
        <w:rPr>
          <w:rStyle w:val="Odwoanieprzypisudolnego"/>
          <w:sz w:val="22"/>
          <w:szCs w:val="22"/>
        </w:rPr>
        <w:footnoteReference w:id="1"/>
      </w:r>
      <w:r w:rsidRPr="000F023F">
        <w:rPr>
          <w:sz w:val="22"/>
          <w:szCs w:val="22"/>
        </w:rPr>
        <w:t xml:space="preserve">  - Fundusz Pożyczkowy, do którego Zamawiający wniesie wkład finansowy ze środków Projektu „Kujawsko-Pomorski Fundusz Rozwoju 2020”, </w:t>
      </w:r>
      <w:r w:rsidR="00522F62" w:rsidRPr="000F023F">
        <w:rPr>
          <w:sz w:val="22"/>
          <w:szCs w:val="22"/>
        </w:rPr>
        <w:t xml:space="preserve">który </w:t>
      </w:r>
      <w:r w:rsidR="000F023F">
        <w:rPr>
          <w:sz w:val="22"/>
          <w:szCs w:val="22"/>
        </w:rPr>
        <w:t xml:space="preserve">to wkład </w:t>
      </w:r>
      <w:r w:rsidR="00522F62" w:rsidRPr="000F023F">
        <w:rPr>
          <w:sz w:val="22"/>
          <w:szCs w:val="22"/>
        </w:rPr>
        <w:t xml:space="preserve">będzie podlegał zwrotowi do Zamawiającego. Z Instrumentu </w:t>
      </w:r>
      <w:r w:rsidRPr="000F023F">
        <w:rPr>
          <w:sz w:val="22"/>
          <w:szCs w:val="22"/>
        </w:rPr>
        <w:t>będą</w:t>
      </w:r>
      <w:r w:rsidR="00522F62" w:rsidRPr="000F023F">
        <w:rPr>
          <w:sz w:val="22"/>
          <w:szCs w:val="22"/>
        </w:rPr>
        <w:t xml:space="preserve"> udzielane</w:t>
      </w:r>
      <w:r w:rsidRPr="000F023F">
        <w:rPr>
          <w:sz w:val="22"/>
          <w:szCs w:val="22"/>
        </w:rPr>
        <w:t xml:space="preserve"> Pożyczki </w:t>
      </w:r>
      <w:r w:rsidR="00522F62" w:rsidRPr="000F023F">
        <w:rPr>
          <w:sz w:val="22"/>
          <w:szCs w:val="22"/>
        </w:rPr>
        <w:t>Płynnościowe</w:t>
      </w:r>
      <w:r w:rsidR="000F023F">
        <w:rPr>
          <w:sz w:val="22"/>
          <w:szCs w:val="22"/>
        </w:rPr>
        <w:br/>
      </w:r>
      <w:r w:rsidR="00522F62" w:rsidRPr="000F023F">
        <w:rPr>
          <w:sz w:val="22"/>
          <w:szCs w:val="22"/>
        </w:rPr>
        <w:t xml:space="preserve">o charakterze obrotowo-inwestycyjnym </w:t>
      </w:r>
      <w:r w:rsidR="00522F62" w:rsidRPr="000F023F">
        <w:rPr>
          <w:rFonts w:cstheme="minorHAnsi"/>
          <w:sz w:val="22"/>
          <w:szCs w:val="22"/>
        </w:rPr>
        <w:t>z przeznaczeniem na wsparcie przedsięwzięć realizowanych przez MŚP z siedzibą w województwie kujawsko-pomorskim w celu zapewnienia finansowania płynnościowego w związku z negatywnymi konsekwencjami spowodowanymi epidemią COVID-19</w:t>
      </w:r>
      <w:r w:rsidR="00C25266" w:rsidRPr="000F023F">
        <w:rPr>
          <w:sz w:val="22"/>
          <w:szCs w:val="22"/>
        </w:rPr>
        <w:t xml:space="preserve">. </w:t>
      </w:r>
      <w:r w:rsidR="000F023F" w:rsidRPr="000F023F">
        <w:rPr>
          <w:rFonts w:asciiTheme="minorHAnsi" w:hAnsiTheme="minorHAnsi" w:cstheme="minorHAnsi"/>
          <w:sz w:val="22"/>
          <w:szCs w:val="22"/>
        </w:rPr>
        <w:t xml:space="preserve">W ramach </w:t>
      </w:r>
      <w:r w:rsidR="000F023F">
        <w:rPr>
          <w:rFonts w:asciiTheme="minorHAnsi" w:hAnsiTheme="minorHAnsi" w:cstheme="minorHAnsi"/>
          <w:sz w:val="22"/>
          <w:szCs w:val="22"/>
        </w:rPr>
        <w:t>I</w:t>
      </w:r>
      <w:r w:rsidR="000F023F" w:rsidRPr="000F023F">
        <w:rPr>
          <w:rFonts w:asciiTheme="minorHAnsi" w:hAnsiTheme="minorHAnsi" w:cstheme="minorHAnsi"/>
          <w:sz w:val="22"/>
          <w:szCs w:val="22"/>
        </w:rPr>
        <w:t xml:space="preserve">nstrumentu finansowane będą wydatki związane z utrzymaniem bieżącej działalności firmy i zapewnieniem jej płynności finansowej. </w:t>
      </w:r>
    </w:p>
    <w:p w14:paraId="17391DE8" w14:textId="77777777" w:rsidR="00EE0C2C" w:rsidRPr="00EE0C2C" w:rsidRDefault="00EE0C2C" w:rsidP="0072035F">
      <w:pPr>
        <w:pStyle w:val="Akapitzlist"/>
        <w:numPr>
          <w:ilvl w:val="0"/>
          <w:numId w:val="11"/>
        </w:numPr>
        <w:autoSpaceDE w:val="0"/>
        <w:autoSpaceDN w:val="0"/>
        <w:adjustRightInd w:val="0"/>
        <w:spacing w:after="60" w:line="240" w:lineRule="auto"/>
        <w:ind w:left="284"/>
        <w:contextualSpacing w:val="0"/>
        <w:jc w:val="both"/>
        <w:rPr>
          <w:rFonts w:cs="Calibri"/>
          <w:szCs w:val="24"/>
        </w:rPr>
      </w:pPr>
      <w:r w:rsidRPr="00EE0C2C">
        <w:rPr>
          <w:szCs w:val="24"/>
        </w:rPr>
        <w:t xml:space="preserve">Przedmiotem zamówienia realizowanego w trybie „wolnej ręki” jest świadczenie przez </w:t>
      </w:r>
      <w:r w:rsidRPr="00EE0C2C">
        <w:rPr>
          <w:szCs w:val="24"/>
        </w:rPr>
        <w:br/>
        <w:t xml:space="preserve">Wykonawcę usługi </w:t>
      </w:r>
      <w:bookmarkStart w:id="2" w:name="_Hlk488839108"/>
      <w:bookmarkStart w:id="3" w:name="_Hlk486500155"/>
      <w:r w:rsidRPr="00EE0C2C">
        <w:rPr>
          <w:szCs w:val="24"/>
        </w:rPr>
        <w:t xml:space="preserve">wdrożenia i zarządzania Instrumentem Finansowym – Fundusz </w:t>
      </w:r>
      <w:r w:rsidRPr="00EE0C2C">
        <w:rPr>
          <w:szCs w:val="24"/>
        </w:rPr>
        <w:br/>
        <w:t xml:space="preserve">Pożyczkowy, </w:t>
      </w:r>
      <w:bookmarkStart w:id="4" w:name="_Hlk486499082"/>
      <w:bookmarkStart w:id="5" w:name="_Hlk486500122"/>
      <w:r w:rsidRPr="00EE0C2C">
        <w:rPr>
          <w:szCs w:val="24"/>
        </w:rPr>
        <w:t xml:space="preserve">polegającym na udzielaniu wsparcia finansowego o parametrach określonych w „Metryce Produktu Finansowego - Pożyczka płynnościowa”, w łącznej wysokości </w:t>
      </w:r>
      <w:r w:rsidRPr="00247015">
        <w:rPr>
          <w:b/>
          <w:bCs/>
          <w:szCs w:val="24"/>
        </w:rPr>
        <w:t>53 000 000,00 zł</w:t>
      </w:r>
      <w:r w:rsidRPr="00247015">
        <w:rPr>
          <w:szCs w:val="24"/>
        </w:rPr>
        <w:t xml:space="preserve"> </w:t>
      </w:r>
      <w:bookmarkEnd w:id="4"/>
      <w:r w:rsidRPr="00247015">
        <w:rPr>
          <w:szCs w:val="24"/>
        </w:rPr>
        <w:t xml:space="preserve">z wkładu finansowego wniesionego z Funduszu Funduszy przez </w:t>
      </w:r>
      <w:r w:rsidRPr="00247015">
        <w:rPr>
          <w:szCs w:val="24"/>
        </w:rPr>
        <w:br/>
        <w:t xml:space="preserve">Zamawiającego do utworzonego Instrumentu Finansowego. Z tego 85 % wkładu, tj. kwota </w:t>
      </w:r>
      <w:r w:rsidRPr="00247015">
        <w:rPr>
          <w:szCs w:val="24"/>
        </w:rPr>
        <w:br/>
        <w:t xml:space="preserve">45 050 000,00 zł, pochodzić będzie ze środków Projektu „Kujawsko-Pomorski Fundusz </w:t>
      </w:r>
      <w:r w:rsidRPr="00247015">
        <w:rPr>
          <w:szCs w:val="24"/>
        </w:rPr>
        <w:br/>
        <w:t>Rozwoju 2020”, pozostałe 15 %, tj. kwota 7 950 000,00 zł,</w:t>
      </w:r>
      <w:r w:rsidRPr="00EE0C2C">
        <w:rPr>
          <w:szCs w:val="24"/>
        </w:rPr>
        <w:t xml:space="preserve"> z Krajowego Wkładu Publicznego.</w:t>
      </w:r>
      <w:bookmarkEnd w:id="2"/>
      <w:bookmarkEnd w:id="3"/>
      <w:bookmarkEnd w:id="5"/>
    </w:p>
    <w:p w14:paraId="11D9D290" w14:textId="77777777" w:rsidR="00EE0C2C" w:rsidRPr="00EE0C2C" w:rsidRDefault="00EE0C2C" w:rsidP="0072035F">
      <w:pPr>
        <w:pStyle w:val="Akapitzlist"/>
        <w:numPr>
          <w:ilvl w:val="0"/>
          <w:numId w:val="11"/>
        </w:numPr>
        <w:autoSpaceDE w:val="0"/>
        <w:autoSpaceDN w:val="0"/>
        <w:adjustRightInd w:val="0"/>
        <w:spacing w:after="60" w:line="240" w:lineRule="auto"/>
        <w:ind w:left="284"/>
        <w:contextualSpacing w:val="0"/>
        <w:jc w:val="both"/>
        <w:rPr>
          <w:szCs w:val="24"/>
        </w:rPr>
      </w:pPr>
      <w:r w:rsidRPr="00EE0C2C">
        <w:rPr>
          <w:rFonts w:cs="Calibri"/>
          <w:szCs w:val="24"/>
        </w:rPr>
        <w:lastRenderedPageBreak/>
        <w:t xml:space="preserve">Zamawiający w ramach Zamówienia przewiduje możliwość zastosowania </w:t>
      </w:r>
      <w:r w:rsidRPr="00EE0C2C">
        <w:rPr>
          <w:rFonts w:cs="Calibri"/>
          <w:b/>
          <w:szCs w:val="24"/>
        </w:rPr>
        <w:t>Prawa Opcji</w:t>
      </w:r>
      <w:r w:rsidRPr="00EE0C2C">
        <w:rPr>
          <w:rFonts w:cs="Calibri"/>
          <w:szCs w:val="24"/>
        </w:rPr>
        <w:t xml:space="preserve"> na zasadach określonych w Umowie Operacyjnej. </w:t>
      </w:r>
    </w:p>
    <w:p w14:paraId="6C6FA052" w14:textId="77777777" w:rsidR="00EE0C2C" w:rsidRPr="00EE0C2C" w:rsidRDefault="00EE0C2C" w:rsidP="0072035F">
      <w:pPr>
        <w:pStyle w:val="Akapitzlist"/>
        <w:numPr>
          <w:ilvl w:val="0"/>
          <w:numId w:val="11"/>
        </w:numPr>
        <w:autoSpaceDE w:val="0"/>
        <w:autoSpaceDN w:val="0"/>
        <w:adjustRightInd w:val="0"/>
        <w:spacing w:after="60" w:line="240" w:lineRule="auto"/>
        <w:ind w:left="284"/>
        <w:contextualSpacing w:val="0"/>
        <w:jc w:val="both"/>
        <w:rPr>
          <w:szCs w:val="24"/>
        </w:rPr>
      </w:pPr>
      <w:r w:rsidRPr="00EE0C2C">
        <w:rPr>
          <w:szCs w:val="24"/>
        </w:rPr>
        <w:t xml:space="preserve">Wysokość środków udostępnianych Wykonawcy w ramach Prawa Opcji może wynosić do </w:t>
      </w:r>
      <w:r w:rsidRPr="00EE0C2C">
        <w:rPr>
          <w:b/>
          <w:szCs w:val="24"/>
        </w:rPr>
        <w:t>100%</w:t>
      </w:r>
      <w:r w:rsidRPr="00EE0C2C">
        <w:rPr>
          <w:szCs w:val="24"/>
        </w:rPr>
        <w:t xml:space="preserve"> wysokości pierwotnego wkładu w Instrument Finansowy. Pożyczki udzielane przez Wykonawcę ze środków udostępnionych na podstawie Prawa Opcji będą udzielane </w:t>
      </w:r>
      <w:r w:rsidRPr="00EE0C2C">
        <w:rPr>
          <w:szCs w:val="24"/>
        </w:rPr>
        <w:br/>
        <w:t xml:space="preserve">w oparciu o zasady zawarte w „Metryce Produktu Finansowego – </w:t>
      </w:r>
      <w:r w:rsidRPr="00EE0C2C">
        <w:rPr>
          <w:rFonts w:cs="Calibri"/>
          <w:szCs w:val="24"/>
        </w:rPr>
        <w:t>Pożyczka Płynnościowa</w:t>
      </w:r>
      <w:r w:rsidRPr="00EE0C2C">
        <w:rPr>
          <w:szCs w:val="24"/>
        </w:rPr>
        <w:t>” oraz w protokole z negocjacji, stosowane do Zamówienia podstawowego.</w:t>
      </w:r>
      <w:bookmarkStart w:id="6" w:name="_Hlk490724027"/>
    </w:p>
    <w:bookmarkEnd w:id="6"/>
    <w:p w14:paraId="7ABFBAB9" w14:textId="77777777" w:rsidR="003D68B0" w:rsidRPr="00793583" w:rsidRDefault="003D68B0" w:rsidP="000263B2">
      <w:pPr>
        <w:pStyle w:val="Akapitzlist"/>
        <w:numPr>
          <w:ilvl w:val="0"/>
          <w:numId w:val="11"/>
        </w:numPr>
        <w:suppressAutoHyphens/>
        <w:spacing w:after="60" w:line="240" w:lineRule="auto"/>
        <w:ind w:left="284" w:hanging="357"/>
        <w:contextualSpacing w:val="0"/>
        <w:jc w:val="both"/>
      </w:pPr>
      <w:r w:rsidRPr="00793583">
        <w:t>Zamówienie będzie współfinansowane z Regionalnego Programu Operacyjnego Województwa Kujawsko-Pomorskiego 2014-2020 w ramach projektu „Kujawsko-Pomorski Fundusz Rozwoju 2020”.</w:t>
      </w:r>
    </w:p>
    <w:p w14:paraId="286B3C0D" w14:textId="77777777" w:rsidR="00204D6D" w:rsidRPr="000263B2" w:rsidRDefault="003D68B0" w:rsidP="000263B2">
      <w:pPr>
        <w:pStyle w:val="Akapitzlist"/>
        <w:numPr>
          <w:ilvl w:val="0"/>
          <w:numId w:val="11"/>
        </w:numPr>
        <w:spacing w:after="60" w:line="240" w:lineRule="auto"/>
        <w:ind w:left="284" w:hanging="357"/>
        <w:contextualSpacing w:val="0"/>
        <w:jc w:val="both"/>
      </w:pPr>
      <w:r w:rsidRPr="00793583">
        <w:rPr>
          <w:color w:val="000000"/>
        </w:rPr>
        <w:t>Kody i nazwy stosowane we Wspólnym Słowniku Zamówień (CPV):</w:t>
      </w:r>
      <w:r w:rsidRPr="00793583">
        <w:rPr>
          <w:color w:val="000000"/>
        </w:rPr>
        <w:br/>
      </w:r>
      <w:r w:rsidRPr="000263B2">
        <w:rPr>
          <w:bCs/>
          <w:color w:val="000000"/>
        </w:rPr>
        <w:t xml:space="preserve">66000000-0 </w:t>
      </w:r>
      <w:r w:rsidRPr="000263B2">
        <w:rPr>
          <w:color w:val="000000"/>
        </w:rPr>
        <w:t>–</w:t>
      </w:r>
      <w:r w:rsidRPr="00793583">
        <w:rPr>
          <w:color w:val="000000"/>
        </w:rPr>
        <w:t xml:space="preserve"> Usługi pośrednictwa finansowego.</w:t>
      </w:r>
    </w:p>
    <w:p w14:paraId="4DCB57C4" w14:textId="77777777" w:rsidR="000263B2" w:rsidRPr="00793583" w:rsidRDefault="000263B2" w:rsidP="000263B2">
      <w:pPr>
        <w:pStyle w:val="Akapitzlist"/>
        <w:spacing w:after="60" w:line="240" w:lineRule="auto"/>
        <w:ind w:left="426"/>
        <w:contextualSpacing w:val="0"/>
        <w:jc w:val="both"/>
      </w:pPr>
    </w:p>
    <w:p w14:paraId="34EB877B" w14:textId="3D7A073C" w:rsidR="00E35920" w:rsidRPr="00793583" w:rsidRDefault="000263B2" w:rsidP="00793583">
      <w:pPr>
        <w:pStyle w:val="Akapitzlist"/>
        <w:numPr>
          <w:ilvl w:val="0"/>
          <w:numId w:val="1"/>
        </w:numPr>
        <w:spacing w:after="120" w:line="240" w:lineRule="auto"/>
        <w:ind w:left="284" w:hanging="284"/>
        <w:contextualSpacing w:val="0"/>
        <w:jc w:val="both"/>
        <w:rPr>
          <w:rFonts w:cs="Times New Roman"/>
          <w:color w:val="000000"/>
        </w:rPr>
      </w:pPr>
      <w:r>
        <w:rPr>
          <w:rFonts w:cs="Times New Roman"/>
          <w:b/>
          <w:color w:val="000000"/>
        </w:rPr>
        <w:t>Wysokość wynagrodzenia z tytułu udzielonego</w:t>
      </w:r>
      <w:r w:rsidR="003D68B0" w:rsidRPr="00793583">
        <w:rPr>
          <w:rFonts w:cs="Times New Roman"/>
          <w:b/>
          <w:color w:val="000000"/>
        </w:rPr>
        <w:t xml:space="preserve"> zamówienia</w:t>
      </w:r>
      <w:r w:rsidR="00E35920" w:rsidRPr="00793583">
        <w:rPr>
          <w:rFonts w:cs="Times New Roman"/>
          <w:b/>
          <w:color w:val="000000"/>
        </w:rPr>
        <w:t>.</w:t>
      </w:r>
    </w:p>
    <w:p w14:paraId="4AB93B78" w14:textId="4446A41A" w:rsidR="003D68B0" w:rsidRDefault="000263B2" w:rsidP="00793583">
      <w:pPr>
        <w:pStyle w:val="Akapitzlist"/>
        <w:spacing w:after="120" w:line="240" w:lineRule="auto"/>
        <w:ind w:left="284"/>
        <w:contextualSpacing w:val="0"/>
        <w:jc w:val="both"/>
        <w:rPr>
          <w:rFonts w:cs="Times New Roman"/>
          <w:color w:val="000000"/>
        </w:rPr>
      </w:pPr>
      <w:r>
        <w:rPr>
          <w:rFonts w:cs="Times New Roman"/>
          <w:color w:val="000000"/>
        </w:rPr>
        <w:t>Wynagrodzenie z tytułu</w:t>
      </w:r>
      <w:r w:rsidR="00E35920" w:rsidRPr="00793583">
        <w:rPr>
          <w:rFonts w:cs="Times New Roman"/>
          <w:color w:val="000000"/>
        </w:rPr>
        <w:t xml:space="preserve"> zamówienia</w:t>
      </w:r>
      <w:r w:rsidR="003D68B0" w:rsidRPr="00793583">
        <w:rPr>
          <w:rFonts w:cs="Times New Roman"/>
          <w:color w:val="000000"/>
        </w:rPr>
        <w:t xml:space="preserve"> wraz z Prawem Opcji</w:t>
      </w:r>
      <w:r w:rsidR="00E35920" w:rsidRPr="00793583">
        <w:rPr>
          <w:rFonts w:cs="Times New Roman"/>
          <w:color w:val="000000"/>
        </w:rPr>
        <w:t xml:space="preserve"> wynosi</w:t>
      </w:r>
      <w:r w:rsidR="00F65D38" w:rsidRPr="00793583">
        <w:rPr>
          <w:rFonts w:cs="Times New Roman"/>
          <w:color w:val="000000"/>
        </w:rPr>
        <w:t xml:space="preserve"> </w:t>
      </w:r>
      <w:r w:rsidR="00E81DEC" w:rsidRPr="00247015">
        <w:rPr>
          <w:rFonts w:cs="Times New Roman"/>
          <w:color w:val="000000"/>
        </w:rPr>
        <w:t>7 20</w:t>
      </w:r>
      <w:r w:rsidR="00725D79" w:rsidRPr="00247015">
        <w:rPr>
          <w:rFonts w:cs="Times New Roman"/>
          <w:color w:val="000000"/>
        </w:rPr>
        <w:t>8</w:t>
      </w:r>
      <w:r w:rsidR="00E81DEC" w:rsidRPr="00247015">
        <w:rPr>
          <w:rFonts w:cs="Times New Roman"/>
          <w:color w:val="000000"/>
        </w:rPr>
        <w:t xml:space="preserve"> 000</w:t>
      </w:r>
      <w:r w:rsidR="003D68B0" w:rsidRPr="00247015">
        <w:rPr>
          <w:rFonts w:cs="Times New Roman"/>
          <w:color w:val="000000"/>
        </w:rPr>
        <w:t>,00 zł.</w:t>
      </w:r>
    </w:p>
    <w:p w14:paraId="0CF2CE63" w14:textId="77777777" w:rsidR="000263B2" w:rsidRPr="00793583" w:rsidRDefault="000263B2" w:rsidP="00793583">
      <w:pPr>
        <w:pStyle w:val="Akapitzlist"/>
        <w:spacing w:after="120" w:line="240" w:lineRule="auto"/>
        <w:ind w:left="284"/>
        <w:contextualSpacing w:val="0"/>
        <w:jc w:val="both"/>
        <w:rPr>
          <w:rFonts w:cs="Times New Roman"/>
          <w:color w:val="000000"/>
        </w:rPr>
      </w:pPr>
    </w:p>
    <w:p w14:paraId="3F2B56DE" w14:textId="5A6FFCE3" w:rsidR="003D68B0" w:rsidRPr="00793583" w:rsidRDefault="003D68B0" w:rsidP="00793583">
      <w:pPr>
        <w:pStyle w:val="Akapitzlist"/>
        <w:numPr>
          <w:ilvl w:val="0"/>
          <w:numId w:val="1"/>
        </w:numPr>
        <w:spacing w:line="240" w:lineRule="auto"/>
        <w:ind w:left="284" w:hanging="284"/>
        <w:contextualSpacing w:val="0"/>
        <w:jc w:val="both"/>
        <w:rPr>
          <w:rFonts w:cs="Times New Roman"/>
          <w:color w:val="000000"/>
        </w:rPr>
      </w:pPr>
      <w:r w:rsidRPr="00793583">
        <w:rPr>
          <w:rFonts w:eastAsia="Times New Roman" w:cs="Times New Roman"/>
          <w:b/>
          <w:bCs/>
          <w:lang w:eastAsia="pl-PL"/>
        </w:rPr>
        <w:t>Nazwa i adres wykonawcy, któremu zamawiający</w:t>
      </w:r>
      <w:r w:rsidR="000263B2">
        <w:rPr>
          <w:rFonts w:eastAsia="Times New Roman" w:cs="Times New Roman"/>
          <w:b/>
          <w:bCs/>
          <w:lang w:eastAsia="pl-PL"/>
        </w:rPr>
        <w:t xml:space="preserve"> udzielił</w:t>
      </w:r>
      <w:r w:rsidRPr="00793583">
        <w:rPr>
          <w:rFonts w:eastAsia="Times New Roman" w:cs="Times New Roman"/>
          <w:b/>
          <w:bCs/>
          <w:lang w:eastAsia="pl-PL"/>
        </w:rPr>
        <w:t xml:space="preserve"> zamówienia:</w:t>
      </w:r>
    </w:p>
    <w:p w14:paraId="0DEC52CA" w14:textId="0BA82CCC" w:rsidR="00E3608E" w:rsidRDefault="003D68B0" w:rsidP="000263B2">
      <w:pPr>
        <w:pStyle w:val="Akapitzlist"/>
        <w:spacing w:after="120" w:line="240" w:lineRule="auto"/>
        <w:ind w:left="284"/>
        <w:contextualSpacing w:val="0"/>
        <w:jc w:val="both"/>
        <w:rPr>
          <w:color w:val="000000"/>
        </w:rPr>
      </w:pPr>
      <w:r w:rsidRPr="00793583">
        <w:rPr>
          <w:color w:val="000000"/>
        </w:rPr>
        <w:t>Kujawsko-Pomorski Fundusz Pożyczkowy s</w:t>
      </w:r>
      <w:r w:rsidR="00E3608E" w:rsidRPr="00793583">
        <w:rPr>
          <w:color w:val="000000"/>
        </w:rPr>
        <w:t>p. z o.o., ul. H. Sienkiewi</w:t>
      </w:r>
      <w:r w:rsidRPr="00793583">
        <w:rPr>
          <w:color w:val="000000"/>
        </w:rPr>
        <w:t xml:space="preserve">cza </w:t>
      </w:r>
      <w:r w:rsidR="00E3608E" w:rsidRPr="00793583">
        <w:rPr>
          <w:color w:val="000000"/>
        </w:rPr>
        <w:t>38, 87-100 Toruń.</w:t>
      </w:r>
    </w:p>
    <w:p w14:paraId="59E47565" w14:textId="77777777" w:rsidR="000263B2" w:rsidRPr="000263B2" w:rsidRDefault="000263B2" w:rsidP="000263B2">
      <w:pPr>
        <w:pStyle w:val="Akapitzlist"/>
        <w:spacing w:after="120" w:line="240" w:lineRule="auto"/>
        <w:ind w:left="284"/>
        <w:contextualSpacing w:val="0"/>
        <w:jc w:val="both"/>
        <w:rPr>
          <w:color w:val="000000"/>
        </w:rPr>
      </w:pPr>
    </w:p>
    <w:p w14:paraId="3E30C3C2" w14:textId="77777777" w:rsidR="00E3608E" w:rsidRPr="00793583" w:rsidRDefault="00E3608E" w:rsidP="00793583">
      <w:pPr>
        <w:pStyle w:val="Akapitzlist"/>
        <w:numPr>
          <w:ilvl w:val="0"/>
          <w:numId w:val="1"/>
        </w:numPr>
        <w:spacing w:before="100" w:beforeAutospacing="1" w:after="100" w:afterAutospacing="1" w:line="240" w:lineRule="auto"/>
        <w:ind w:left="284" w:hanging="284"/>
        <w:jc w:val="both"/>
        <w:rPr>
          <w:rFonts w:eastAsia="Times New Roman" w:cs="Times New Roman"/>
          <w:lang w:eastAsia="pl-PL"/>
        </w:rPr>
      </w:pPr>
      <w:r w:rsidRPr="00793583">
        <w:rPr>
          <w:rFonts w:eastAsia="Times New Roman" w:cs="Times New Roman"/>
          <w:b/>
          <w:bCs/>
          <w:lang w:eastAsia="pl-PL"/>
        </w:rPr>
        <w:t>Planowany termin realizacji zamówienia i czas trwania umowy.</w:t>
      </w:r>
    </w:p>
    <w:p w14:paraId="6FD2C20A" w14:textId="77777777" w:rsidR="00E3608E" w:rsidRPr="00793583" w:rsidRDefault="00E3608E" w:rsidP="00793583">
      <w:pPr>
        <w:pStyle w:val="Default"/>
        <w:ind w:left="426" w:hanging="142"/>
        <w:jc w:val="both"/>
        <w:rPr>
          <w:rFonts w:asciiTheme="minorHAnsi" w:hAnsiTheme="minorHAnsi"/>
          <w:color w:val="auto"/>
          <w:sz w:val="22"/>
          <w:szCs w:val="22"/>
        </w:rPr>
      </w:pPr>
      <w:r w:rsidRPr="00793583">
        <w:rPr>
          <w:rFonts w:asciiTheme="minorHAnsi" w:hAnsiTheme="minorHAnsi"/>
          <w:color w:val="auto"/>
          <w:sz w:val="22"/>
          <w:szCs w:val="22"/>
        </w:rPr>
        <w:t xml:space="preserve">Okres realizacji zamówienia: </w:t>
      </w:r>
      <w:r w:rsidR="000C3398">
        <w:rPr>
          <w:rFonts w:asciiTheme="minorHAnsi" w:hAnsiTheme="minorHAnsi"/>
          <w:b/>
          <w:bCs/>
          <w:color w:val="auto"/>
          <w:sz w:val="22"/>
          <w:szCs w:val="22"/>
        </w:rPr>
        <w:t>do 01.03.2027 r.</w:t>
      </w:r>
      <w:r w:rsidRPr="00793583">
        <w:rPr>
          <w:rFonts w:asciiTheme="minorHAnsi" w:hAnsiTheme="minorHAnsi"/>
          <w:b/>
          <w:bCs/>
          <w:color w:val="auto"/>
          <w:sz w:val="22"/>
          <w:szCs w:val="22"/>
        </w:rPr>
        <w:t xml:space="preserve"> </w:t>
      </w:r>
      <w:r w:rsidRPr="00793583">
        <w:rPr>
          <w:rFonts w:asciiTheme="minorHAnsi" w:hAnsiTheme="minorHAnsi"/>
          <w:color w:val="auto"/>
          <w:sz w:val="22"/>
          <w:szCs w:val="22"/>
        </w:rPr>
        <w:t xml:space="preserve">przy czym: </w:t>
      </w:r>
    </w:p>
    <w:p w14:paraId="036AEE4D" w14:textId="77777777" w:rsidR="00E3608E" w:rsidRPr="00793583" w:rsidRDefault="00E3608E" w:rsidP="00793583">
      <w:pPr>
        <w:pStyle w:val="Default"/>
        <w:numPr>
          <w:ilvl w:val="2"/>
          <w:numId w:val="5"/>
        </w:numPr>
        <w:spacing w:after="178"/>
        <w:ind w:left="567" w:hanging="283"/>
        <w:jc w:val="both"/>
        <w:rPr>
          <w:rFonts w:asciiTheme="minorHAnsi" w:hAnsiTheme="minorHAnsi"/>
          <w:color w:val="auto"/>
          <w:sz w:val="22"/>
          <w:szCs w:val="22"/>
        </w:rPr>
      </w:pPr>
      <w:r w:rsidRPr="00793583">
        <w:rPr>
          <w:rFonts w:asciiTheme="minorHAnsi" w:hAnsiTheme="minorHAnsi"/>
          <w:color w:val="auto"/>
          <w:sz w:val="22"/>
          <w:szCs w:val="22"/>
        </w:rPr>
        <w:t xml:space="preserve">udzielanie i wypłata wszystkich Pożyczek nastąpi </w:t>
      </w:r>
      <w:r w:rsidRPr="00382644">
        <w:rPr>
          <w:rFonts w:asciiTheme="minorHAnsi" w:hAnsiTheme="minorHAnsi"/>
          <w:color w:val="auto"/>
          <w:sz w:val="22"/>
          <w:szCs w:val="22"/>
        </w:rPr>
        <w:t xml:space="preserve">w terminie do </w:t>
      </w:r>
      <w:r w:rsidR="00382644" w:rsidRPr="00382644">
        <w:rPr>
          <w:rFonts w:asciiTheme="minorHAnsi" w:hAnsiTheme="minorHAnsi"/>
          <w:color w:val="auto"/>
          <w:sz w:val="22"/>
          <w:szCs w:val="22"/>
        </w:rPr>
        <w:t>31.12.2020 r.</w:t>
      </w:r>
      <w:r w:rsidR="00D241D1" w:rsidRPr="00382644">
        <w:rPr>
          <w:rFonts w:asciiTheme="minorHAnsi" w:hAnsiTheme="minorHAnsi"/>
          <w:color w:val="auto"/>
          <w:sz w:val="22"/>
          <w:szCs w:val="22"/>
        </w:rPr>
        <w:t xml:space="preserve"> (Okres Budowy Portfela)</w:t>
      </w:r>
      <w:r w:rsidRPr="00382644">
        <w:rPr>
          <w:rFonts w:asciiTheme="minorHAnsi" w:hAnsiTheme="minorHAnsi"/>
          <w:color w:val="auto"/>
          <w:sz w:val="22"/>
          <w:szCs w:val="22"/>
        </w:rPr>
        <w:t>,</w:t>
      </w:r>
      <w:r w:rsidRPr="00793583">
        <w:rPr>
          <w:rFonts w:asciiTheme="minorHAnsi" w:hAnsiTheme="minorHAnsi"/>
          <w:color w:val="auto"/>
          <w:sz w:val="22"/>
          <w:szCs w:val="22"/>
        </w:rPr>
        <w:t xml:space="preserve"> </w:t>
      </w:r>
    </w:p>
    <w:p w14:paraId="3844AC68" w14:textId="77777777" w:rsidR="00E3608E" w:rsidRPr="00793583" w:rsidRDefault="00E3608E" w:rsidP="00793583">
      <w:pPr>
        <w:pStyle w:val="Default"/>
        <w:numPr>
          <w:ilvl w:val="2"/>
          <w:numId w:val="5"/>
        </w:numPr>
        <w:spacing w:after="178"/>
        <w:ind w:left="567" w:hanging="283"/>
        <w:jc w:val="both"/>
        <w:rPr>
          <w:rFonts w:asciiTheme="minorHAnsi" w:hAnsiTheme="minorHAnsi"/>
          <w:color w:val="auto"/>
          <w:sz w:val="22"/>
          <w:szCs w:val="22"/>
        </w:rPr>
      </w:pPr>
      <w:r w:rsidRPr="00793583">
        <w:rPr>
          <w:rFonts w:asciiTheme="minorHAnsi" w:hAnsiTheme="minorHAnsi"/>
          <w:color w:val="auto"/>
          <w:sz w:val="22"/>
          <w:szCs w:val="22"/>
        </w:rPr>
        <w:t xml:space="preserve">inne czynności, w szczególności: monitoring, kontrola, obsługa spłat pożyczek, windykacja, przechowywanie dokumentów wykonywane będą do dnia spłaty ostatniej udzielonej Pożyczki, chyba że w zakresie poszczególnych czynności wskazanych w Umowie Operacyjnej określono inne terminy. </w:t>
      </w:r>
    </w:p>
    <w:p w14:paraId="62DC4152" w14:textId="77777777" w:rsidR="00EC3834" w:rsidRPr="00793583" w:rsidRDefault="00EC3834" w:rsidP="00EC3834">
      <w:pPr>
        <w:pStyle w:val="Akapitzlist"/>
        <w:numPr>
          <w:ilvl w:val="0"/>
          <w:numId w:val="1"/>
        </w:numPr>
        <w:spacing w:before="100" w:beforeAutospacing="1" w:after="120" w:line="240" w:lineRule="auto"/>
        <w:ind w:left="284" w:hanging="284"/>
        <w:contextualSpacing w:val="0"/>
        <w:jc w:val="both"/>
        <w:rPr>
          <w:rFonts w:eastAsia="Times New Roman" w:cs="Times New Roman"/>
          <w:lang w:eastAsia="pl-PL"/>
        </w:rPr>
      </w:pPr>
      <w:r w:rsidRPr="00793583">
        <w:rPr>
          <w:rFonts w:eastAsia="Times New Roman" w:cs="Times New Roman"/>
          <w:b/>
          <w:bCs/>
          <w:lang w:eastAsia="pl-PL"/>
        </w:rPr>
        <w:t>Podstawa prawna i uzasadnienie wyboru trybu udzielenia zamówienia z wolnej ręki.</w:t>
      </w:r>
    </w:p>
    <w:p w14:paraId="36C2E352" w14:textId="77777777" w:rsidR="00EC3834" w:rsidRPr="00522F62" w:rsidRDefault="00EC3834" w:rsidP="00EC3834">
      <w:pPr>
        <w:spacing w:after="120" w:line="240" w:lineRule="auto"/>
        <w:ind w:left="284" w:firstLine="284"/>
        <w:jc w:val="both"/>
        <w:rPr>
          <w:rFonts w:ascii="Calibri" w:eastAsia="Times New Roman" w:hAnsi="Calibri" w:cs="Calibri"/>
          <w:lang w:eastAsia="pl-PL"/>
        </w:rPr>
      </w:pPr>
      <w:r w:rsidRPr="00522F62">
        <w:rPr>
          <w:rFonts w:ascii="Calibri" w:hAnsi="Calibri" w:cs="Calibri"/>
          <w:color w:val="000000"/>
        </w:rPr>
        <w:t>Do przedmiotowego zamówienia nie mają zastosowania prz</w:t>
      </w:r>
      <w:r>
        <w:rPr>
          <w:rFonts w:ascii="Calibri" w:hAnsi="Calibri" w:cs="Calibri"/>
          <w:color w:val="000000"/>
        </w:rPr>
        <w:t>episy ustawy z dnia 29 stycznia</w:t>
      </w:r>
      <w:r>
        <w:rPr>
          <w:rFonts w:ascii="Calibri" w:hAnsi="Calibri" w:cs="Calibri"/>
          <w:color w:val="000000"/>
        </w:rPr>
        <w:br/>
      </w:r>
      <w:r w:rsidRPr="00522F62">
        <w:rPr>
          <w:rFonts w:ascii="Calibri" w:hAnsi="Calibri" w:cs="Calibri"/>
          <w:color w:val="000000"/>
        </w:rPr>
        <w:t>2004 r. – Prawo zamówień publicznych, których stosowanie zostało wyłączone na mocy art. 6</w:t>
      </w:r>
      <w:r w:rsidRPr="00522F62">
        <w:rPr>
          <w:rFonts w:ascii="Calibri" w:hAnsi="Calibri" w:cs="Calibri"/>
          <w:color w:val="000000"/>
        </w:rPr>
        <w:br/>
        <w:t xml:space="preserve">ust. 2 ustawy z dnia 2 marca 2020 r. o szczególnych rozwiązaniach związanych z zapobieganiem, przeciwdziałaniem i zwalczaniem COVID-19, innych chorób zakaźnych oraz wywołanych nimi sytuacji kryzysowych (Dz. U. poz. 374 z </w:t>
      </w:r>
      <w:proofErr w:type="spellStart"/>
      <w:r w:rsidRPr="00522F62">
        <w:rPr>
          <w:rFonts w:ascii="Calibri" w:hAnsi="Calibri" w:cs="Calibri"/>
          <w:color w:val="000000"/>
        </w:rPr>
        <w:t>późn</w:t>
      </w:r>
      <w:proofErr w:type="spellEnd"/>
      <w:r w:rsidRPr="00522F62">
        <w:rPr>
          <w:rFonts w:ascii="Calibri" w:hAnsi="Calibri" w:cs="Calibri"/>
          <w:color w:val="000000"/>
        </w:rPr>
        <w:t xml:space="preserve">. zm.). Zgodnie z przywołanym przepisem ustawy Prawo zamówień publicznych </w:t>
      </w:r>
      <w:r w:rsidRPr="00522F62">
        <w:rPr>
          <w:rFonts w:ascii="Calibri" w:eastAsia="Times New Roman" w:hAnsi="Calibri" w:cs="Calibri"/>
          <w:lang w:eastAsia="pl-PL"/>
        </w:rPr>
        <w:t xml:space="preserve">nie stosuje się do zamówień udzielanych przez Bank Gospodarstwa Krajowego, Polski Fundusz Rozwoju Spółka Akcyjna lub regionalne fundusze rozwoju, o których mowa w </w:t>
      </w:r>
      <w:hyperlink r:id="rId7" w:anchor="/document/16799842?unitId=art(13)ust(1(a))&amp;cm=DOCUMENT" w:history="1">
        <w:r w:rsidRPr="00522F62">
          <w:rPr>
            <w:rFonts w:ascii="Calibri" w:eastAsia="Times New Roman" w:hAnsi="Calibri" w:cs="Calibri"/>
            <w:lang w:eastAsia="pl-PL"/>
          </w:rPr>
          <w:t>art. 13 ust. 1a</w:t>
        </w:r>
      </w:hyperlink>
      <w:r w:rsidRPr="00522F62">
        <w:rPr>
          <w:rFonts w:ascii="Calibri" w:eastAsia="Times New Roman" w:hAnsi="Calibri" w:cs="Calibri"/>
          <w:lang w:eastAsia="pl-PL"/>
        </w:rPr>
        <w:t xml:space="preserve"> ustawy z dnia 5 czerwca 1998 r. o samorządzie województwa (Dz. U. z 2019 r. poz. 512, 1571 i 1851), związanych z realizacją:</w:t>
      </w:r>
    </w:p>
    <w:p w14:paraId="6D979648" w14:textId="77777777" w:rsidR="00EC3834" w:rsidRPr="00522F62" w:rsidRDefault="00EC3834" w:rsidP="00EC3834">
      <w:pPr>
        <w:spacing w:after="120" w:line="240" w:lineRule="auto"/>
        <w:ind w:left="284"/>
        <w:jc w:val="both"/>
        <w:rPr>
          <w:rFonts w:ascii="Calibri" w:eastAsia="Times New Roman" w:hAnsi="Calibri" w:cs="Calibri"/>
          <w:lang w:eastAsia="pl-PL"/>
        </w:rPr>
      </w:pPr>
      <w:r w:rsidRPr="00522F62">
        <w:rPr>
          <w:rFonts w:ascii="Calibri" w:eastAsia="Times New Roman" w:hAnsi="Calibri" w:cs="Calibri"/>
          <w:lang w:eastAsia="pl-PL"/>
        </w:rPr>
        <w:t>1) zadań dotyczących obsługi funduszy utworzonych, powierzonych lub przekazanych na podstawie przepisów odrębnych oraz związanych z realizacją programów rządowych lub innych programów realizowanych ze środków publicznych, lub</w:t>
      </w:r>
    </w:p>
    <w:p w14:paraId="6B6D2BA9" w14:textId="77777777" w:rsidR="00EC3834" w:rsidRPr="00522F62" w:rsidRDefault="00EC3834" w:rsidP="00EC3834">
      <w:pPr>
        <w:spacing w:after="120" w:line="240" w:lineRule="auto"/>
        <w:ind w:left="284"/>
        <w:jc w:val="both"/>
        <w:rPr>
          <w:rFonts w:ascii="Calibri" w:eastAsia="Times New Roman" w:hAnsi="Calibri" w:cs="Calibri"/>
          <w:lang w:eastAsia="pl-PL"/>
        </w:rPr>
      </w:pPr>
      <w:r w:rsidRPr="00522F62">
        <w:rPr>
          <w:rFonts w:ascii="Calibri" w:eastAsia="Times New Roman" w:hAnsi="Calibri" w:cs="Calibri"/>
          <w:lang w:eastAsia="pl-PL"/>
        </w:rPr>
        <w:t>2) zadań związanych z wykorzystaniem środków pochodzących z takich funduszy</w:t>
      </w:r>
    </w:p>
    <w:p w14:paraId="5630D4A0" w14:textId="77777777" w:rsidR="00EC3834" w:rsidRPr="00522F62" w:rsidRDefault="00EC3834" w:rsidP="00EC3834">
      <w:pPr>
        <w:spacing w:after="120" w:line="240" w:lineRule="auto"/>
        <w:ind w:left="284"/>
        <w:jc w:val="both"/>
        <w:rPr>
          <w:rFonts w:ascii="Calibri" w:eastAsia="Times New Roman" w:hAnsi="Calibri" w:cs="Calibri"/>
          <w:lang w:eastAsia="pl-PL"/>
        </w:rPr>
      </w:pPr>
      <w:r w:rsidRPr="00522F62">
        <w:rPr>
          <w:rFonts w:ascii="Calibri" w:eastAsia="Times New Roman" w:hAnsi="Calibri" w:cs="Calibri"/>
          <w:lang w:eastAsia="pl-PL"/>
        </w:rPr>
        <w:t>- które dotyczą instrumentów wsparcia niezbędnych do przeciwdziałania negatywnym skutkom gospodarczym wystąpienia COVID-19.</w:t>
      </w:r>
    </w:p>
    <w:p w14:paraId="2A59DD10" w14:textId="77777777" w:rsidR="00EC3834" w:rsidRPr="00247015" w:rsidRDefault="00EC3834" w:rsidP="00EC3834">
      <w:pPr>
        <w:spacing w:after="60" w:line="240" w:lineRule="auto"/>
        <w:ind w:left="284" w:firstLine="283"/>
        <w:jc w:val="both"/>
        <w:rPr>
          <w:color w:val="000000"/>
        </w:rPr>
      </w:pPr>
      <w:r>
        <w:rPr>
          <w:color w:val="000000"/>
        </w:rPr>
        <w:lastRenderedPageBreak/>
        <w:t xml:space="preserve">Kujawsko-Pomorski Fundusz Rozwoju sp. z o.o. jest regionalnym funduszem rozwoju, o którym mowa powyżej. Z kolei przedmiot zamówienia obejmuje zadania związane z wykorzystaniem powierzonych funduszy w celu uruchomienia instrumentu wsparcia niezbędnego do przeciwdziałania negatywnym skutkom gospodarczym wystąpienia COVID-19. Środki, z których zostanie utworzony Instrument zostały powierzone Zamawiającemu przez Województwo Kujawsko-Pomorskie na mocy umowy </w:t>
      </w:r>
      <w:r w:rsidRPr="00D22D7C">
        <w:rPr>
          <w:color w:val="000000"/>
        </w:rPr>
        <w:t>z dnia 20.06.20</w:t>
      </w:r>
      <w:r>
        <w:rPr>
          <w:color w:val="000000"/>
        </w:rPr>
        <w:t>17</w:t>
      </w:r>
      <w:r w:rsidRPr="00D22D7C">
        <w:rPr>
          <w:color w:val="000000"/>
        </w:rPr>
        <w:t xml:space="preserve"> r. o finansowanie Projektu „Kujawsko-Pomorski Fundusz Rozwoju 2020”</w:t>
      </w:r>
      <w:r>
        <w:rPr>
          <w:color w:val="000000"/>
        </w:rPr>
        <w:t xml:space="preserve">. Pożyczka Płynnościowa, której dotyczy przedmiotowe zamówienie została przewidziana w </w:t>
      </w:r>
      <w:r w:rsidRPr="00E548E7">
        <w:rPr>
          <w:i/>
          <w:color w:val="000000"/>
        </w:rPr>
        <w:t>Strategii Inwestycyjnej z Biznesplanem dla Instrumentów Finansowych w ramach Regionalnego Programu Operacyjnego Województwa Kujawsko-Pomorskiego na lata 2014-2020, Obszar 3</w:t>
      </w:r>
      <w:r>
        <w:rPr>
          <w:color w:val="000000"/>
        </w:rPr>
        <w:t xml:space="preserve"> zmienionej Uchwałą Nr 16/651/20 Zarządu Województwa z dnia 27 kwietnia 2020 r. Instrument ten wprowadzany jest w związku z zaistniałą</w:t>
      </w:r>
      <w:r>
        <w:rPr>
          <w:color w:val="000000"/>
        </w:rPr>
        <w:br/>
        <w:t>a wcześniej niemożliwą do przewidzenia sytuacją epidemiczną w kraju wywołaną chorobą</w:t>
      </w:r>
      <w:r>
        <w:rPr>
          <w:color w:val="000000"/>
        </w:rPr>
        <w:br/>
        <w:t>COVID-19, która to sytuacja spowodowała wyjątkowe okoliczności wymagające pilnego wprowadzenia szczególnych środków i rozwiązań na rzecz zabezpieczenia płynności MŚP oraz utrzymania miejsc pracy.</w:t>
      </w:r>
    </w:p>
    <w:p w14:paraId="5482679B" w14:textId="77777777" w:rsidR="00EC3834" w:rsidRDefault="00EC3834" w:rsidP="00EC3834">
      <w:pPr>
        <w:pStyle w:val="Akapitzlist"/>
        <w:spacing w:after="60" w:line="240" w:lineRule="auto"/>
        <w:ind w:left="284" w:firstLine="283"/>
        <w:jc w:val="both"/>
        <w:rPr>
          <w:rFonts w:eastAsia="Times New Roman" w:cs="Times New Roman"/>
          <w:lang w:eastAsia="pl-PL"/>
        </w:rPr>
      </w:pPr>
      <w:r w:rsidRPr="00793583">
        <w:rPr>
          <w:rFonts w:eastAsia="Times New Roman" w:cs="Times New Roman"/>
          <w:bCs/>
          <w:lang w:eastAsia="pl-PL"/>
        </w:rPr>
        <w:t xml:space="preserve">Zamówienie udzielane jest </w:t>
      </w:r>
      <w:r>
        <w:rPr>
          <w:rFonts w:eastAsia="Times New Roman" w:cs="Times New Roman"/>
          <w:bCs/>
          <w:lang w:eastAsia="pl-PL"/>
        </w:rPr>
        <w:t>zgodnie z</w:t>
      </w:r>
      <w:r w:rsidRPr="00793583">
        <w:rPr>
          <w:rFonts w:eastAsia="Times New Roman" w:cs="Times New Roman"/>
          <w:bCs/>
          <w:lang w:eastAsia="pl-PL"/>
        </w:rPr>
        <w:t xml:space="preserve"> art. </w:t>
      </w:r>
      <w:r>
        <w:rPr>
          <w:rFonts w:eastAsia="Times New Roman" w:cs="Times New Roman"/>
          <w:bCs/>
          <w:lang w:eastAsia="pl-PL"/>
        </w:rPr>
        <w:t xml:space="preserve">12 ust. 2 </w:t>
      </w:r>
      <w:r w:rsidRPr="00877E4C">
        <w:rPr>
          <w:rFonts w:eastAsia="Times New Roman" w:cs="Times New Roman"/>
          <w:bCs/>
          <w:i/>
          <w:lang w:eastAsia="pl-PL"/>
        </w:rPr>
        <w:t>Dyrektywy</w:t>
      </w:r>
      <w:r>
        <w:rPr>
          <w:rFonts w:eastAsia="Times New Roman" w:cs="Times New Roman"/>
          <w:bCs/>
          <w:lang w:eastAsia="pl-PL"/>
        </w:rPr>
        <w:t xml:space="preserve"> </w:t>
      </w:r>
      <w:r>
        <w:rPr>
          <w:i/>
          <w:color w:val="000000"/>
        </w:rPr>
        <w:t xml:space="preserve">Parlamentu Europejskiego i Rady 2014/24/UE z dnia 26 lutego 2014 r. w sprawie zamówień publicznych,  uchylającej dyrektywę 2004/18/WE, </w:t>
      </w:r>
      <w:r>
        <w:rPr>
          <w:iCs/>
          <w:color w:val="000000"/>
        </w:rPr>
        <w:t>(dalej „</w:t>
      </w:r>
      <w:r>
        <w:rPr>
          <w:i/>
          <w:color w:val="000000"/>
        </w:rPr>
        <w:t>Dyrektywa”</w:t>
      </w:r>
      <w:r>
        <w:rPr>
          <w:iCs/>
          <w:color w:val="000000"/>
        </w:rPr>
        <w:t>), który wyłącza jej stosowanie</w:t>
      </w:r>
      <w:r w:rsidRPr="00793583">
        <w:rPr>
          <w:rFonts w:eastAsia="Times New Roman" w:cs="Times New Roman"/>
          <w:bCs/>
          <w:lang w:eastAsia="pl-PL"/>
        </w:rPr>
        <w:t xml:space="preserve">. Zgodnie z tym przepisem </w:t>
      </w:r>
      <w:r>
        <w:rPr>
          <w:rFonts w:eastAsia="Times New Roman" w:cs="Times New Roman"/>
          <w:bCs/>
          <w:lang w:eastAsia="pl-PL"/>
        </w:rPr>
        <w:t xml:space="preserve">zamówienie publiczne nie jest objęte zakresem stosowania </w:t>
      </w:r>
      <w:r w:rsidRPr="00877E4C">
        <w:rPr>
          <w:rFonts w:eastAsia="Times New Roman" w:cs="Times New Roman"/>
          <w:bCs/>
          <w:i/>
          <w:lang w:eastAsia="pl-PL"/>
        </w:rPr>
        <w:t xml:space="preserve">Dyrektywy </w:t>
      </w:r>
      <w:r>
        <w:t>gdy osoba prawna kontrolowana przez daną instytucję zamawiającą udziela zamówienia innej osobie prawnej kontrolowanej przez tę samą instytucję zamawiającą</w:t>
      </w:r>
      <w:r>
        <w:rPr>
          <w:rFonts w:eastAsia="Times New Roman" w:cs="Times New Roman"/>
          <w:lang w:eastAsia="pl-PL"/>
        </w:rPr>
        <w:t xml:space="preserve"> i</w:t>
      </w:r>
      <w:r w:rsidRPr="00793583">
        <w:rPr>
          <w:rFonts w:eastAsia="Times New Roman" w:cs="Times New Roman"/>
          <w:lang w:eastAsia="pl-PL"/>
        </w:rPr>
        <w:t xml:space="preserve"> spełnione są następujące warunki: </w:t>
      </w:r>
    </w:p>
    <w:p w14:paraId="29CD9960" w14:textId="77777777" w:rsidR="00EC3834" w:rsidRDefault="00EC3834" w:rsidP="00EC3834">
      <w:pPr>
        <w:pStyle w:val="Akapitzlist"/>
        <w:numPr>
          <w:ilvl w:val="2"/>
          <w:numId w:val="3"/>
        </w:numPr>
        <w:spacing w:after="60" w:line="240" w:lineRule="auto"/>
        <w:ind w:left="709" w:hanging="283"/>
        <w:jc w:val="both"/>
      </w:pPr>
      <w:r>
        <w:t>instytucja zamawiająca sprawuje nad daną osobą prawną kontrolę podobną do kontroli, jaką sprawuje nad własnymi jednostkami. Uznaje się, że instytucja zamawiająca sprawuje nad daną osobą prawną kontrolę podobną do kontroli, jaką sprawuje nad własnymi jednostkami jeżeli wywiera decydujący wpływ zarówno na cele strategiczne, jak i na istotne decyzje kontrolowanej osoby prawnej. Kontrolę tę może sprawować także inna osoba prawna, która sama jest kontrolowana w ten sam sposób przez instytucję zamawiającą;</w:t>
      </w:r>
    </w:p>
    <w:p w14:paraId="4F81B936" w14:textId="77777777" w:rsidR="00EC3834" w:rsidRPr="003F192F" w:rsidRDefault="00EC3834" w:rsidP="00EC3834">
      <w:pPr>
        <w:pStyle w:val="Akapitzlist"/>
        <w:numPr>
          <w:ilvl w:val="2"/>
          <w:numId w:val="3"/>
        </w:numPr>
        <w:spacing w:after="60" w:line="240" w:lineRule="auto"/>
        <w:ind w:left="709" w:hanging="283"/>
        <w:jc w:val="both"/>
        <w:rPr>
          <w:rFonts w:eastAsia="Times New Roman" w:cs="Times New Roman"/>
          <w:lang w:eastAsia="pl-PL"/>
        </w:rPr>
      </w:pPr>
      <w:r>
        <w:t>ponad 80 % działalności kontrolowanej osoby prawnej jest prowadzone w ramach wykonywania zadań powierzonych jej przez instytucję zamawiającą sprawującą kontrolę lub przez inne osoby prawne kontrolowane przez tę instytucję zamawiającą; oraz</w:t>
      </w:r>
    </w:p>
    <w:p w14:paraId="3EAB3571" w14:textId="77777777" w:rsidR="00EC3834" w:rsidRPr="00793583" w:rsidRDefault="00EC3834" w:rsidP="00EC3834">
      <w:pPr>
        <w:pStyle w:val="Akapitzlist"/>
        <w:numPr>
          <w:ilvl w:val="2"/>
          <w:numId w:val="3"/>
        </w:numPr>
        <w:spacing w:after="60" w:line="240" w:lineRule="auto"/>
        <w:ind w:left="709" w:hanging="283"/>
        <w:jc w:val="both"/>
        <w:rPr>
          <w:rFonts w:eastAsia="Times New Roman" w:cs="Times New Roman"/>
          <w:lang w:eastAsia="pl-PL"/>
        </w:rPr>
      </w:pPr>
      <w:r>
        <w:t>w kontrolowanej osobie prawnej nie ma bezpośredniego udziału kapitału prywatnego, z wyjątkiem form udziału kapitału prywatnego o charakterze niekontrolującym i nieblokującym, wymaganych na mocy krajowych przepisów ustawowych, zgodnie z Traktatami, oraz nie wywierających decydującego wpływu na kontrolowaną osobę prawną.</w:t>
      </w:r>
    </w:p>
    <w:p w14:paraId="492E0E4F" w14:textId="77777777" w:rsidR="00EC3834" w:rsidRDefault="00EC3834" w:rsidP="00EC3834">
      <w:pPr>
        <w:rPr>
          <w:vanish/>
        </w:rPr>
      </w:pPr>
    </w:p>
    <w:p w14:paraId="06E7D9E0" w14:textId="77777777" w:rsidR="00EC3834" w:rsidRDefault="00EC3834" w:rsidP="00EC3834">
      <w:pPr>
        <w:rPr>
          <w:vanish/>
        </w:rPr>
      </w:pPr>
    </w:p>
    <w:p w14:paraId="079E0C71" w14:textId="77777777" w:rsidR="00EC3834" w:rsidRPr="00793583" w:rsidRDefault="00EC3834" w:rsidP="00EC3834">
      <w:pPr>
        <w:pStyle w:val="Akapitzlist"/>
        <w:spacing w:after="0" w:line="240" w:lineRule="auto"/>
        <w:ind w:left="284" w:firstLine="283"/>
        <w:contextualSpacing w:val="0"/>
        <w:jc w:val="both"/>
        <w:rPr>
          <w:rFonts w:eastAsia="Times New Roman" w:cs="Times New Roman"/>
          <w:lang w:eastAsia="pl-PL"/>
        </w:rPr>
      </w:pPr>
      <w:r w:rsidRPr="00793583">
        <w:rPr>
          <w:rFonts w:eastAsia="Times New Roman" w:cs="Times New Roman"/>
          <w:bCs/>
          <w:lang w:eastAsia="pl-PL"/>
        </w:rPr>
        <w:t xml:space="preserve">Udzielający zamówienia </w:t>
      </w:r>
      <w:r>
        <w:rPr>
          <w:rFonts w:eastAsia="Times New Roman" w:cs="Times New Roman"/>
          <w:bCs/>
          <w:lang w:eastAsia="pl-PL"/>
        </w:rPr>
        <w:t xml:space="preserve">- </w:t>
      </w:r>
      <w:r w:rsidRPr="00793583">
        <w:rPr>
          <w:rFonts w:eastAsia="Times New Roman" w:cs="Times New Roman"/>
          <w:bCs/>
          <w:lang w:eastAsia="pl-PL"/>
        </w:rPr>
        <w:t>Kujawsko-Pomorski Fundusz Rozwoju sp. z o.o.</w:t>
      </w:r>
      <w:r>
        <w:rPr>
          <w:rFonts w:eastAsia="Times New Roman" w:cs="Times New Roman"/>
          <w:bCs/>
          <w:lang w:eastAsia="pl-PL"/>
        </w:rPr>
        <w:t xml:space="preserve"> -</w:t>
      </w:r>
      <w:r w:rsidRPr="00793583">
        <w:rPr>
          <w:rFonts w:eastAsia="Times New Roman" w:cs="Times New Roman"/>
          <w:bCs/>
          <w:lang w:eastAsia="pl-PL"/>
        </w:rPr>
        <w:t xml:space="preserve"> jest </w:t>
      </w:r>
      <w:r>
        <w:rPr>
          <w:rFonts w:eastAsia="Times New Roman" w:cs="Times New Roman"/>
          <w:lang w:eastAsia="pl-PL"/>
        </w:rPr>
        <w:t>spółką komunalną</w:t>
      </w:r>
      <w:r w:rsidRPr="00793583">
        <w:rPr>
          <w:rFonts w:eastAsia="Times New Roman" w:cs="Times New Roman"/>
          <w:lang w:eastAsia="pl-PL"/>
        </w:rPr>
        <w:t>, w której 100% udziałów posiada Województwo-Kujawsko Pomorskie, tym samym nie ma w Spółce udziału kapitału prywatnego.</w:t>
      </w:r>
    </w:p>
    <w:p w14:paraId="55500904" w14:textId="77777777" w:rsidR="00EC3834" w:rsidRPr="00793583" w:rsidRDefault="00EC3834" w:rsidP="00EC3834">
      <w:pPr>
        <w:pStyle w:val="Akapitzlist"/>
        <w:spacing w:after="0" w:line="240" w:lineRule="auto"/>
        <w:ind w:left="284" w:firstLine="283"/>
        <w:contextualSpacing w:val="0"/>
        <w:jc w:val="both"/>
        <w:rPr>
          <w:color w:val="000000"/>
        </w:rPr>
      </w:pPr>
      <w:r w:rsidRPr="00793583">
        <w:rPr>
          <w:color w:val="000000"/>
        </w:rPr>
        <w:t xml:space="preserve">Samorząd Województwa Kujawsko-Pomorskiego pełni nad Spółką kontrolę jak nad własnymi jednostkami poprzez nadzór właścicielski. Umowa Spółki przyznaje szerokie kompetencje decyzyjne Wspólnikowi, który zgodnie z </w:t>
      </w:r>
      <w:r>
        <w:rPr>
          <w:color w:val="000000"/>
        </w:rPr>
        <w:t>§ 25 ust. 2 U</w:t>
      </w:r>
      <w:r w:rsidRPr="00793583">
        <w:rPr>
          <w:color w:val="000000"/>
        </w:rPr>
        <w:t xml:space="preserve">mowy Spółki ma prawo wydawania Zarządowi wiążących poleceń dotyczących prowadzenia spraw Spółki, a także wykonuje funkcje władcze, doradcze, koordynacyjne i kontrolne wobec innych organów Spółki sprawując kontrolę odpowiadającą kontroli sprawowanej nad własnymi jednostkami nieposiadającymi osobowości prawnej. Zgromadzenie Wspólników m.in. udziela zgody na zbycie udziałów, zatwierdza kierunki rozwoju Spółki, roczne plany rzeczowo-finansowe i wieloletnie plany działalności Spółki,  wyraża zgodę na zaciąganie zobowiązań nie objętych planem finansowo-inwestycyjnym powyżej 10 tys. zł lub jeżeli suma takich zobowiązań w roku obrotowym przekroczy 20 tys., udziela zgody na dokonanie przekraczających wartość 5 tys. zł: darowizny, zwolnienia z długu lub zawarcia innej umowy niezwiązanej z przedmiotem działalności Spółki, wyraża zgodę na udzielenie prokury lub ustanowienie pełnomocnika do podpisywania umów skutkujących zaciągnięciem zobowiązania przez Spółkę. Ponadto Zgromadzenie powołuje Radę Nadzorczą, która z kolei powołuje i odwołuje </w:t>
      </w:r>
      <w:r w:rsidRPr="00793583">
        <w:rPr>
          <w:color w:val="000000"/>
        </w:rPr>
        <w:lastRenderedPageBreak/>
        <w:t xml:space="preserve">członków Zarządu. Rada, oprócz uprawnień wynikających z przepisów Kodeksu spółek handlowych opiniuje wszystkie sprawy przedkładane przez Zarząd Zgromadzeniu Wspólników, a także udziela zgody m.in. na zbycie lub obciążenie składników aktywów o wartości przekraczającej równowartość kwoty 20 tys. zł, wystawianie, </w:t>
      </w:r>
      <w:proofErr w:type="spellStart"/>
      <w:r w:rsidRPr="00793583">
        <w:rPr>
          <w:color w:val="000000"/>
        </w:rPr>
        <w:t>awalowanie</w:t>
      </w:r>
      <w:proofErr w:type="spellEnd"/>
      <w:r w:rsidRPr="00793583">
        <w:rPr>
          <w:color w:val="000000"/>
        </w:rPr>
        <w:t xml:space="preserve"> i indosowanie weksli, zatwierdza regulaminy obowiązujące w Spółce, w tym regulamin Zarządu i organizacyjny. Powyższe potwierdza, że Województwo Kujawsko-Pomorskie ma dominujący wpływ na cele strategiczne oraz istotne decyzje Spółki i sprawuje nad Spółką kontrolę jak nad własnymi jednostkami. </w:t>
      </w:r>
    </w:p>
    <w:p w14:paraId="7A76C09B" w14:textId="77777777" w:rsidR="00EC3834" w:rsidRDefault="00EC3834" w:rsidP="00EC3834">
      <w:pPr>
        <w:pStyle w:val="Akapitzlist"/>
        <w:spacing w:before="100" w:beforeAutospacing="1" w:after="100" w:afterAutospacing="1" w:line="240" w:lineRule="auto"/>
        <w:ind w:left="284" w:firstLine="283"/>
        <w:jc w:val="both"/>
        <w:rPr>
          <w:color w:val="000000"/>
        </w:rPr>
      </w:pPr>
      <w:r w:rsidRPr="00793583">
        <w:rPr>
          <w:color w:val="000000"/>
        </w:rPr>
        <w:t>Spółka została powołana do życia w styczniu 2017 r. Na podstawie uchwały Sejmiku Województwa Kujawsko-Pomorskiego z dnia 29 sierpnia 2016 r. nr XXIII/415/16, ww. Spółce powierzono prowadzenie działalności obejmującej wspieranie i promowanie rozwoju Województwa Kujawsko-Pomorskiego poprzez wprowadzanie na rynek regionalny instrumentów finansowych asygnowanych na realizację celów polityki rozwoju Województwa, w tym na kreowanie aktywności podmiotów gospodarczych oraz zarządzania środkami finansowymi</w:t>
      </w:r>
      <w:r>
        <w:rPr>
          <w:color w:val="000000"/>
        </w:rPr>
        <w:br/>
      </w:r>
      <w:r w:rsidRPr="00793583">
        <w:rPr>
          <w:color w:val="000000"/>
        </w:rPr>
        <w:t>w obszarze wsparcia rozwoju mikro, małych i średnich przedsiębiorstw na terenie województwa kujawsko-pomorskiego</w:t>
      </w:r>
      <w:r>
        <w:rPr>
          <w:color w:val="000000"/>
        </w:rPr>
        <w:t>,</w:t>
      </w:r>
      <w:r w:rsidRPr="00793583">
        <w:rPr>
          <w:color w:val="000000"/>
        </w:rPr>
        <w:t xml:space="preserve"> w szczególności poprzez ułatwienie dostępu do finansowania. </w:t>
      </w:r>
      <w:bookmarkStart w:id="7" w:name="_Hlk491432110"/>
      <w:r w:rsidRPr="00793583">
        <w:rPr>
          <w:color w:val="000000"/>
        </w:rPr>
        <w:t>Zysk</w:t>
      </w:r>
      <w:r>
        <w:rPr>
          <w:color w:val="000000"/>
        </w:rPr>
        <w:br/>
      </w:r>
      <w:r w:rsidRPr="00793583">
        <w:rPr>
          <w:color w:val="000000"/>
        </w:rPr>
        <w:t xml:space="preserve">w Spółce może być przeznaczany wyłącznie na realizację celów statutowych Spółki. Spółka zawarła </w:t>
      </w:r>
      <w:r>
        <w:rPr>
          <w:color w:val="000000"/>
        </w:rPr>
        <w:br/>
      </w:r>
      <w:r w:rsidRPr="00793583">
        <w:rPr>
          <w:color w:val="000000"/>
        </w:rPr>
        <w:t>z Samorządem Wojewó</w:t>
      </w:r>
      <w:r>
        <w:rPr>
          <w:color w:val="000000"/>
        </w:rPr>
        <w:t>dztwa Kujawsko-Pomorskiego umowy o realizację zadań własnych WK-P, których realizacja stanowi główny przedmiot działalności spółki od momentu jej powstania</w:t>
      </w:r>
      <w:r>
        <w:rPr>
          <w:color w:val="000000"/>
        </w:rPr>
        <w:br/>
        <w:t>w 2017 r.:</w:t>
      </w:r>
    </w:p>
    <w:p w14:paraId="38C7F890" w14:textId="77777777" w:rsidR="00EC3834" w:rsidRDefault="00EC3834" w:rsidP="00EC3834">
      <w:pPr>
        <w:pStyle w:val="Akapitzlist"/>
        <w:numPr>
          <w:ilvl w:val="2"/>
          <w:numId w:val="5"/>
        </w:numPr>
        <w:spacing w:before="100" w:beforeAutospacing="1" w:after="100" w:afterAutospacing="1" w:line="240" w:lineRule="auto"/>
        <w:ind w:left="709"/>
        <w:jc w:val="both"/>
        <w:rPr>
          <w:color w:val="000000"/>
        </w:rPr>
      </w:pPr>
      <w:r w:rsidRPr="00D22D7C">
        <w:rPr>
          <w:color w:val="000000"/>
        </w:rPr>
        <w:t>umowa z dnia 20.06.20</w:t>
      </w:r>
      <w:r>
        <w:rPr>
          <w:color w:val="000000"/>
        </w:rPr>
        <w:t>17</w:t>
      </w:r>
      <w:r w:rsidRPr="00D22D7C">
        <w:rPr>
          <w:color w:val="000000"/>
        </w:rPr>
        <w:t xml:space="preserve"> r. o finansowanie Projektu „Kujawsko-Pomorski Fundusz Rozwoju 2020”, na mocy której Województwo powierzyło Spółce realizację własnego zadania publicznego polegającego na świadczeniu usług publicznych w celu zaspakajania zbiorowych potrzeb Województwa i społeczeństwa poprzez udostępnianie przedsiębiorcom Instrumentów Finansowych. </w:t>
      </w:r>
    </w:p>
    <w:p w14:paraId="6A9788B2" w14:textId="77777777" w:rsidR="00EC3834" w:rsidRPr="00D22D7C" w:rsidRDefault="00EC3834" w:rsidP="00EC3834">
      <w:pPr>
        <w:pStyle w:val="Akapitzlist"/>
        <w:numPr>
          <w:ilvl w:val="2"/>
          <w:numId w:val="5"/>
        </w:numPr>
        <w:spacing w:before="100" w:beforeAutospacing="1" w:after="100" w:afterAutospacing="1" w:line="240" w:lineRule="auto"/>
        <w:ind w:left="709"/>
        <w:jc w:val="both"/>
        <w:rPr>
          <w:color w:val="000000"/>
        </w:rPr>
      </w:pPr>
      <w:r w:rsidRPr="00D22D7C">
        <w:rPr>
          <w:color w:val="000000"/>
        </w:rPr>
        <w:t xml:space="preserve">umowa o powierzeniu zadania publicznego z dnia 18.12.2017 r. na mocy której Województwo powierzyło Spółce realizację własnego </w:t>
      </w:r>
      <w:r w:rsidRPr="00D22D7C">
        <w:rPr>
          <w:rFonts w:cstheme="minorHAnsi"/>
          <w:color w:val="000000"/>
        </w:rPr>
        <w:t>zadania</w:t>
      </w:r>
      <w:r w:rsidRPr="00D22D7C">
        <w:rPr>
          <w:rFonts w:cstheme="minorHAnsi"/>
        </w:rPr>
        <w:t xml:space="preserve"> publicznego polegającego na zarządzaniu Wkładem Finansowym oraz określiło zasady świadczenia usług publicznych w celu zaspokajania zbiorowych potrzeb mieszkańców Województwa Kujawsko-Pomorskiego, poprzez udostępnianie  Odbiorcom Wsparcia, za pośrednictwem  Pośredników Finansowych, wsparcia w formie instrumentów finansowych.</w:t>
      </w:r>
    </w:p>
    <w:p w14:paraId="52641371" w14:textId="77777777" w:rsidR="00EC3834" w:rsidRDefault="00EC3834" w:rsidP="00EC3834">
      <w:pPr>
        <w:pStyle w:val="Akapitzlist"/>
        <w:numPr>
          <w:ilvl w:val="2"/>
          <w:numId w:val="5"/>
        </w:numPr>
        <w:spacing w:before="100" w:beforeAutospacing="1" w:after="100" w:afterAutospacing="1" w:line="240" w:lineRule="auto"/>
        <w:ind w:left="709"/>
        <w:jc w:val="both"/>
        <w:rPr>
          <w:color w:val="000000"/>
        </w:rPr>
      </w:pPr>
      <w:r>
        <w:rPr>
          <w:color w:val="000000"/>
        </w:rPr>
        <w:t xml:space="preserve">umowa z dnia 21.12.2010 r. </w:t>
      </w:r>
      <w:r w:rsidRPr="00D22D7C">
        <w:rPr>
          <w:color w:val="000000"/>
        </w:rPr>
        <w:t>na mocy której Województwo powierzyło Spółce</w:t>
      </w:r>
      <w:r>
        <w:rPr>
          <w:color w:val="000000"/>
        </w:rPr>
        <w:t xml:space="preserve"> Kujawsko-Pomorski Fundusz Pożyczkowy sp. z o.o.</w:t>
      </w:r>
      <w:r w:rsidRPr="00D22D7C">
        <w:rPr>
          <w:color w:val="000000"/>
        </w:rPr>
        <w:t xml:space="preserve"> realizację</w:t>
      </w:r>
      <w:r>
        <w:rPr>
          <w:color w:val="000000"/>
        </w:rPr>
        <w:t xml:space="preserve"> Projektu</w:t>
      </w:r>
      <w:r w:rsidRPr="00A03466">
        <w:rPr>
          <w:rFonts w:eastAsia="MS Mincho" w:cs="Calibri"/>
          <w:bCs/>
          <w:iCs/>
          <w:lang w:eastAsia="pl-PL"/>
        </w:rPr>
        <w:t xml:space="preserve"> „Finansowanie</w:t>
      </w:r>
      <w:r>
        <w:rPr>
          <w:rFonts w:eastAsia="MS Mincho" w:cs="Calibri"/>
          <w:bCs/>
          <w:iCs/>
          <w:lang w:eastAsia="pl-PL"/>
        </w:rPr>
        <w:t xml:space="preserve"> Funduszu Powierniczego JEREMIE”. Wraz z wydzieleniem Kujawsko-Pomorskiego Funduszu</w:t>
      </w:r>
      <w:r>
        <w:rPr>
          <w:rFonts w:eastAsia="MS Mincho" w:cs="Calibri"/>
          <w:bCs/>
          <w:iCs/>
          <w:lang w:eastAsia="pl-PL"/>
        </w:rPr>
        <w:br/>
        <w:t xml:space="preserve">Rozwoju sp. z o.o. to właśnie on wszedł w prawa Menadżera Funduszu w ramach wskazanej umowy. </w:t>
      </w:r>
      <w:r w:rsidRPr="00A03466">
        <w:rPr>
          <w:rFonts w:eastAsia="MS Mincho" w:cs="Calibri"/>
          <w:bCs/>
          <w:iCs/>
          <w:lang w:eastAsia="pl-PL"/>
        </w:rPr>
        <w:t xml:space="preserve">Projekt Fundusz Powierniczy JEREMIE powstał w ramach Inicjatywy JEREMIE – Joint </w:t>
      </w:r>
      <w:proofErr w:type="spellStart"/>
      <w:r w:rsidRPr="00A03466">
        <w:rPr>
          <w:rFonts w:eastAsia="MS Mincho" w:cs="Calibri"/>
          <w:bCs/>
          <w:iCs/>
          <w:lang w:eastAsia="pl-PL"/>
        </w:rPr>
        <w:t>European</w:t>
      </w:r>
      <w:proofErr w:type="spellEnd"/>
      <w:r w:rsidRPr="00A03466">
        <w:rPr>
          <w:rFonts w:eastAsia="MS Mincho" w:cs="Calibri"/>
          <w:bCs/>
          <w:iCs/>
          <w:lang w:eastAsia="pl-PL"/>
        </w:rPr>
        <w:t xml:space="preserve"> </w:t>
      </w:r>
      <w:proofErr w:type="spellStart"/>
      <w:r w:rsidRPr="00A03466">
        <w:rPr>
          <w:rFonts w:eastAsia="MS Mincho" w:cs="Calibri"/>
          <w:bCs/>
          <w:iCs/>
          <w:lang w:eastAsia="pl-PL"/>
        </w:rPr>
        <w:t>Resources</w:t>
      </w:r>
      <w:proofErr w:type="spellEnd"/>
      <w:r w:rsidRPr="00A03466">
        <w:rPr>
          <w:rFonts w:eastAsia="MS Mincho" w:cs="Calibri"/>
          <w:bCs/>
          <w:iCs/>
          <w:lang w:eastAsia="pl-PL"/>
        </w:rPr>
        <w:t xml:space="preserve"> for Micro to Medium Enterprises (Wspólne Europejskie Zasoby dla Micro, Małych i Średnich Przedsiębiorstw) w poprzedniej perspektywie finansowej.</w:t>
      </w:r>
    </w:p>
    <w:p w14:paraId="644ABCC7" w14:textId="77777777" w:rsidR="00EC3834" w:rsidRPr="00793583" w:rsidRDefault="00EC3834" w:rsidP="00EC3834">
      <w:pPr>
        <w:pStyle w:val="Akapitzlist"/>
        <w:spacing w:before="100" w:beforeAutospacing="1" w:after="100" w:afterAutospacing="1" w:line="240" w:lineRule="auto"/>
        <w:ind w:left="284" w:firstLine="283"/>
        <w:jc w:val="both"/>
        <w:rPr>
          <w:color w:val="000000"/>
        </w:rPr>
      </w:pPr>
      <w:r w:rsidRPr="00793583">
        <w:rPr>
          <w:color w:val="000000"/>
        </w:rPr>
        <w:t>Realizacja umów na rz</w:t>
      </w:r>
      <w:r>
        <w:rPr>
          <w:color w:val="000000"/>
        </w:rPr>
        <w:t>ecz Województwa stanowiła i zgodnie z prognozami na następne 3 lata nadal będzie stanowić</w:t>
      </w:r>
      <w:r w:rsidRPr="00793583">
        <w:rPr>
          <w:color w:val="000000"/>
        </w:rPr>
        <w:t xml:space="preserve"> główny przedmiot dz</w:t>
      </w:r>
      <w:r>
        <w:rPr>
          <w:color w:val="000000"/>
        </w:rPr>
        <w:t>iałalności spółki. W</w:t>
      </w:r>
      <w:r w:rsidRPr="00793583">
        <w:rPr>
          <w:color w:val="000000"/>
        </w:rPr>
        <w:t>szelka dodatkowa działalności</w:t>
      </w:r>
      <w:r>
        <w:rPr>
          <w:color w:val="000000"/>
        </w:rPr>
        <w:t xml:space="preserve"> niezlecona przez Województwo miała charakter incydentalny i generowała nie więcej niż 10% łącznych przychodów Spółki z tytułu świadczenia usług. Również w przyszłości, o ile taka dodatkowa działalność wystąpi,</w:t>
      </w:r>
      <w:r w:rsidRPr="00793583">
        <w:rPr>
          <w:color w:val="000000"/>
        </w:rPr>
        <w:t xml:space="preserve"> nie przekroczy</w:t>
      </w:r>
      <w:r>
        <w:rPr>
          <w:color w:val="000000"/>
        </w:rPr>
        <w:t xml:space="preserve"> ona</w:t>
      </w:r>
      <w:r w:rsidRPr="00793583">
        <w:rPr>
          <w:color w:val="000000"/>
        </w:rPr>
        <w:t xml:space="preserve"> 10%</w:t>
      </w:r>
      <w:r>
        <w:rPr>
          <w:color w:val="000000"/>
        </w:rPr>
        <w:t xml:space="preserve"> przychodów Spółki z tego tytułu</w:t>
      </w:r>
      <w:r w:rsidRPr="00793583">
        <w:rPr>
          <w:color w:val="000000"/>
        </w:rPr>
        <w:t>.</w:t>
      </w:r>
      <w:bookmarkEnd w:id="7"/>
    </w:p>
    <w:p w14:paraId="2238F942" w14:textId="77777777" w:rsidR="00EC3834" w:rsidRPr="00793583" w:rsidRDefault="00EC3834" w:rsidP="00EC3834">
      <w:pPr>
        <w:pStyle w:val="Akapitzlist"/>
        <w:spacing w:before="100" w:beforeAutospacing="1" w:after="100" w:afterAutospacing="1" w:line="240" w:lineRule="auto"/>
        <w:ind w:left="284" w:firstLine="283"/>
        <w:jc w:val="both"/>
        <w:rPr>
          <w:color w:val="000000"/>
        </w:rPr>
      </w:pPr>
      <w:r w:rsidRPr="00793583">
        <w:rPr>
          <w:color w:val="000000"/>
        </w:rPr>
        <w:t xml:space="preserve">Reasumując, Kujawsko-Pomorski Fundusz Rozwoju sp. z o.o. spełnia wszystkie przesłanki określone w art. </w:t>
      </w:r>
      <w:r>
        <w:rPr>
          <w:color w:val="000000"/>
        </w:rPr>
        <w:t xml:space="preserve">12 </w:t>
      </w:r>
      <w:r>
        <w:rPr>
          <w:i/>
          <w:color w:val="000000"/>
        </w:rPr>
        <w:t>Dyrektywy</w:t>
      </w:r>
      <w:r w:rsidRPr="00793583">
        <w:rPr>
          <w:color w:val="000000"/>
        </w:rPr>
        <w:t>.</w:t>
      </w:r>
    </w:p>
    <w:p w14:paraId="7EBF2014" w14:textId="77777777" w:rsidR="00EC3834" w:rsidRPr="00793583" w:rsidRDefault="00EC3834" w:rsidP="00EC3834">
      <w:pPr>
        <w:pStyle w:val="Akapitzlist"/>
        <w:spacing w:after="0" w:line="240" w:lineRule="auto"/>
        <w:ind w:left="284" w:firstLine="283"/>
        <w:contextualSpacing w:val="0"/>
        <w:jc w:val="both"/>
        <w:rPr>
          <w:color w:val="000000"/>
        </w:rPr>
      </w:pPr>
      <w:r w:rsidRPr="00793583">
        <w:rPr>
          <w:color w:val="000000"/>
        </w:rPr>
        <w:t>Z kolei Kujawsko-Pomorski Fundusz Pożyczkowy sp. z o.o., któremu ma zostać udzielane zamówienie, również spełnia przesłanki wskazane w przywołanym przepisie. Spółka</w:t>
      </w:r>
      <w:r>
        <w:rPr>
          <w:color w:val="000000"/>
        </w:rPr>
        <w:t xml:space="preserve"> ta</w:t>
      </w:r>
      <w:r w:rsidRPr="00793583">
        <w:rPr>
          <w:color w:val="000000"/>
        </w:rPr>
        <w:t xml:space="preserve"> </w:t>
      </w:r>
      <w:r>
        <w:rPr>
          <w:color w:val="000000"/>
        </w:rPr>
        <w:t xml:space="preserve">jest </w:t>
      </w:r>
      <w:r w:rsidRPr="00793583">
        <w:rPr>
          <w:rFonts w:eastAsia="Times New Roman" w:cs="Times New Roman"/>
          <w:lang w:eastAsia="pl-PL"/>
        </w:rPr>
        <w:t>spółk</w:t>
      </w:r>
      <w:r>
        <w:rPr>
          <w:rFonts w:eastAsia="Times New Roman" w:cs="Times New Roman"/>
          <w:lang w:eastAsia="pl-PL"/>
        </w:rPr>
        <w:t>ą</w:t>
      </w:r>
      <w:r w:rsidRPr="00793583">
        <w:rPr>
          <w:rFonts w:eastAsia="Times New Roman" w:cs="Times New Roman"/>
          <w:lang w:eastAsia="pl-PL"/>
        </w:rPr>
        <w:t xml:space="preserve"> komunaln</w:t>
      </w:r>
      <w:r>
        <w:rPr>
          <w:rFonts w:eastAsia="Times New Roman" w:cs="Times New Roman"/>
          <w:lang w:eastAsia="pl-PL"/>
        </w:rPr>
        <w:t>ą</w:t>
      </w:r>
      <w:r w:rsidRPr="00793583">
        <w:rPr>
          <w:rFonts w:eastAsia="Times New Roman" w:cs="Times New Roman"/>
          <w:lang w:eastAsia="pl-PL"/>
        </w:rPr>
        <w:t xml:space="preserve"> Województwa Kujawsko-Pomorskiego, w której </w:t>
      </w:r>
      <w:r>
        <w:rPr>
          <w:rFonts w:eastAsia="Times New Roman" w:cs="Times New Roman"/>
          <w:lang w:eastAsia="pl-PL"/>
        </w:rPr>
        <w:t>Województwo</w:t>
      </w:r>
      <w:r w:rsidRPr="00382644">
        <w:rPr>
          <w:rFonts w:eastAsia="Times New Roman" w:cs="Times New Roman"/>
          <w:lang w:eastAsia="pl-PL"/>
        </w:rPr>
        <w:t xml:space="preserve"> posiada 100% udziałów</w:t>
      </w:r>
      <w:r>
        <w:rPr>
          <w:rFonts w:eastAsia="Times New Roman" w:cs="Times New Roman"/>
          <w:lang w:eastAsia="pl-PL"/>
        </w:rPr>
        <w:t>.</w:t>
      </w:r>
      <w:r>
        <w:rPr>
          <w:rFonts w:eastAsia="Times New Roman" w:cs="Times New Roman"/>
          <w:lang w:eastAsia="pl-PL"/>
        </w:rPr>
        <w:br/>
      </w:r>
      <w:r w:rsidRPr="00793583">
        <w:rPr>
          <w:rFonts w:eastAsia="Times New Roman" w:cs="Times New Roman"/>
          <w:lang w:eastAsia="pl-PL"/>
        </w:rPr>
        <w:t xml:space="preserve">W </w:t>
      </w:r>
      <w:r w:rsidRPr="00793583">
        <w:rPr>
          <w:color w:val="000000"/>
        </w:rPr>
        <w:t xml:space="preserve">Kujawsko-Pomorskim Funduszu Pożyczkowym sp. z o.o. </w:t>
      </w:r>
      <w:r w:rsidRPr="00793583">
        <w:rPr>
          <w:rFonts w:eastAsia="Times New Roman" w:cs="Times New Roman"/>
          <w:lang w:eastAsia="pl-PL"/>
        </w:rPr>
        <w:t xml:space="preserve">nie ma zatem udziału kapitału prywatnego. </w:t>
      </w:r>
      <w:r w:rsidRPr="00793583">
        <w:rPr>
          <w:color w:val="000000"/>
        </w:rPr>
        <w:t>Samorząd Województwa Kujawsko-Pomorskiego pełni nad Spółką kontrolę jak nad własnymi jednostkami poprzez nadzór właścicielski. Umowa Spółki przyznaje szerokie kompetencje decyzyjne Zgromadzeniu Wspólnikó</w:t>
      </w:r>
      <w:r>
        <w:rPr>
          <w:color w:val="000000"/>
        </w:rPr>
        <w:t>w, które zgodnie z § 12 ust. 2 U</w:t>
      </w:r>
      <w:r w:rsidRPr="00793583">
        <w:rPr>
          <w:color w:val="000000"/>
        </w:rPr>
        <w:t>mowy Spółki ma prawo wydawania Zarządowi wiążących poleceń dotyczących prowadzenia spraw Spółki,</w:t>
      </w:r>
      <w:r>
        <w:rPr>
          <w:color w:val="000000"/>
        </w:rPr>
        <w:t xml:space="preserve"> a także zgodnie </w:t>
      </w:r>
      <w:r>
        <w:rPr>
          <w:color w:val="000000"/>
        </w:rPr>
        <w:lastRenderedPageBreak/>
        <w:t>z § 25 ust. 2 U</w:t>
      </w:r>
      <w:r w:rsidRPr="00793583">
        <w:rPr>
          <w:color w:val="000000"/>
        </w:rPr>
        <w:t xml:space="preserve">mowy </w:t>
      </w:r>
      <w:r>
        <w:rPr>
          <w:color w:val="000000"/>
        </w:rPr>
        <w:t xml:space="preserve">Spółki </w:t>
      </w:r>
      <w:r w:rsidRPr="00793583">
        <w:rPr>
          <w:color w:val="000000"/>
        </w:rPr>
        <w:t>wykonuje funkcje władcze, doradcze, koordynacyjne i kontrolne wobec innych organów Spółki sprawując kontrolę odpowiadającą kontroli sprawowanej nad własnymi jednostkami nieposiadającymi osobowości prawnej, w szczególności polegającą na wpływie na decyzje strategiczne i indywidualne dotyczące zarządzania sprawami Spółki. Zgromadzenie Wspólników m.in. zatwierdza kierunki rozwoju Spółki, roczne plany rzeczowo-finansowe</w:t>
      </w:r>
      <w:r>
        <w:rPr>
          <w:color w:val="000000"/>
        </w:rPr>
        <w:t xml:space="preserve"> </w:t>
      </w:r>
      <w:r w:rsidRPr="00793583">
        <w:rPr>
          <w:color w:val="000000"/>
        </w:rPr>
        <w:t>i wieloletnie plany działalności Spółki,  wyraża zgodę na zaciąganie zobowiązań nie objętych planem finansowo-inwestycyjnym o jednostkowej wartości 10 tys. zł lub jeżeli suma takich zobowiązań</w:t>
      </w:r>
      <w:r>
        <w:rPr>
          <w:color w:val="000000"/>
        </w:rPr>
        <w:t xml:space="preserve"> </w:t>
      </w:r>
      <w:r w:rsidRPr="00793583">
        <w:rPr>
          <w:color w:val="000000"/>
        </w:rPr>
        <w:t>w roku obrotowym przekroczy 20 tys. zł, udziela zgody na dokonanie przekraczających wartość 5 tys. zł: darowizny, zwolnienia z długu lub zawarcia innej umowy niezwiązanej z przedmiotem działalności Spółki, wyraża zgodę na udzielenie prokury lub ustanowienie pełnomocnika do podpisywania umów skutkujących zaciągnięciem zobowiązania przez Spółkę. Ponadto Zgromadzenie powołuje Radę Nadzorczą, która z kolei powołuje i odwołuje członków Zarządu. Rada, oprócz uprawnień wynikających z przepisów Kodeksu spółek handlowych</w:t>
      </w:r>
      <w:r>
        <w:rPr>
          <w:color w:val="000000"/>
        </w:rPr>
        <w:t>,</w:t>
      </w:r>
      <w:r w:rsidRPr="00793583">
        <w:rPr>
          <w:color w:val="000000"/>
        </w:rPr>
        <w:t xml:space="preserve"> opiniuje wszystkie sprawy przedkładane przez Zarząd Zgromadzeniu Wspólników, a także udziela zgody m.in. na zbycie lub obciążenie składników aktywów o wartości przekraczającej równowartość kwoty 20 tys. zł, na wystawianie, </w:t>
      </w:r>
      <w:proofErr w:type="spellStart"/>
      <w:r w:rsidRPr="00793583">
        <w:rPr>
          <w:color w:val="000000"/>
        </w:rPr>
        <w:t>awalowanie</w:t>
      </w:r>
      <w:proofErr w:type="spellEnd"/>
      <w:r w:rsidRPr="00793583">
        <w:rPr>
          <w:color w:val="000000"/>
        </w:rPr>
        <w:t xml:space="preserve"> i indosowanie weksli, zatwierdza regulaminy obowiązujące w Spółce,</w:t>
      </w:r>
      <w:r>
        <w:rPr>
          <w:color w:val="000000"/>
        </w:rPr>
        <w:t xml:space="preserve"> </w:t>
      </w:r>
      <w:r w:rsidRPr="00793583">
        <w:rPr>
          <w:color w:val="000000"/>
        </w:rPr>
        <w:t>w tym reg</w:t>
      </w:r>
      <w:r>
        <w:rPr>
          <w:color w:val="000000"/>
        </w:rPr>
        <w:t>ulamin Zarządu i organizacyjny</w:t>
      </w:r>
      <w:r w:rsidRPr="00382644">
        <w:rPr>
          <w:color w:val="000000"/>
        </w:rPr>
        <w:t xml:space="preserve">. </w:t>
      </w:r>
      <w:r>
        <w:rPr>
          <w:color w:val="000000"/>
        </w:rPr>
        <w:t>Województwo</w:t>
      </w:r>
      <w:r w:rsidRPr="00382644">
        <w:rPr>
          <w:color w:val="000000"/>
        </w:rPr>
        <w:t xml:space="preserve"> posiada na Zgromadzeniu Wspólników 100% głosów i</w:t>
      </w:r>
      <w:r w:rsidRPr="00793583">
        <w:rPr>
          <w:color w:val="000000"/>
        </w:rPr>
        <w:t xml:space="preserve"> tym samym </w:t>
      </w:r>
      <w:r>
        <w:rPr>
          <w:color w:val="000000"/>
        </w:rPr>
        <w:t>samodzielnie</w:t>
      </w:r>
      <w:r w:rsidRPr="00793583">
        <w:rPr>
          <w:color w:val="000000"/>
        </w:rPr>
        <w:t xml:space="preserve"> decyduje o kształcie wszystkich uchwał podejmowanych przez ten organ, w tym o składzie Rady Nadzorczej, a pośrednio również Zarządu. Powyższe potwierdza, że Województwo Kujawsko-Pomorskie ma dominujący wpływ na cele strategiczne oraz istotne decyzje Spółki i sprawuje nad Spółką kontrolę jak nad własnymi jednostkami. </w:t>
      </w:r>
    </w:p>
    <w:p w14:paraId="053EADEF" w14:textId="77777777" w:rsidR="00EC3834" w:rsidRPr="00793583" w:rsidRDefault="00EC3834" w:rsidP="00EC3834">
      <w:pPr>
        <w:pStyle w:val="Akapitzlist"/>
        <w:spacing w:before="100" w:beforeAutospacing="1" w:after="100" w:afterAutospacing="1" w:line="240" w:lineRule="auto"/>
        <w:ind w:left="284" w:firstLine="283"/>
        <w:jc w:val="both"/>
        <w:rPr>
          <w:color w:val="000000"/>
        </w:rPr>
      </w:pPr>
      <w:r w:rsidRPr="00793583">
        <w:rPr>
          <w:color w:val="000000"/>
        </w:rPr>
        <w:t>Z przedłożonych przez Kujawsko-Pomorski Fundusz Pożyczkowy sp. z o.o. dokumentów wynika, że średnioroczne przychody za ostatnie trzy lata w ponad 90% były związane z działalnością powierzoną przez Województwo Kujawsko-Pomorskie. Spółka realizowała w tym czasie umowy o dofinansowanie zawarte z Województwem oraz wykonywała zadania powierzone jej w akcie założycielskim. Zadania te obejmowały ułatwienie dostępu do finansowania i infrastruktury okołobiznesowej, zgodnie z celami utworzenia Spółki.</w:t>
      </w:r>
    </w:p>
    <w:p w14:paraId="50A3574E" w14:textId="77777777" w:rsidR="00EC3834" w:rsidRPr="00793583" w:rsidRDefault="00EC3834" w:rsidP="00EC3834">
      <w:pPr>
        <w:pStyle w:val="Akapitzlist"/>
        <w:spacing w:before="100" w:beforeAutospacing="1" w:after="100" w:afterAutospacing="1" w:line="240" w:lineRule="auto"/>
        <w:ind w:left="284" w:firstLine="283"/>
        <w:jc w:val="both"/>
        <w:rPr>
          <w:color w:val="000000"/>
        </w:rPr>
      </w:pPr>
      <w:r w:rsidRPr="00793583">
        <w:rPr>
          <w:color w:val="000000"/>
        </w:rPr>
        <w:t xml:space="preserve">Przedstawiony powyżej stan faktyczny wskazuje, że zarówno </w:t>
      </w:r>
      <w:r w:rsidRPr="00793583">
        <w:rPr>
          <w:rFonts w:cs="Times New Roman"/>
          <w:color w:val="000000"/>
        </w:rPr>
        <w:t>Kujawsko-Pomorski Fundusz Rozwoju sp. z o.o., jak i</w:t>
      </w:r>
      <w:r w:rsidRPr="00793583">
        <w:rPr>
          <w:color w:val="000000"/>
        </w:rPr>
        <w:t xml:space="preserve"> Kujawsko-Pomorski Fundusz Pożyczkowy sp. z o.o. są podmiotami kontrolowanymi przez tego samego zamawiającego – Samorząd Województwa Kujawsko-Pomorskiego oraz że s</w:t>
      </w:r>
      <w:r>
        <w:rPr>
          <w:color w:val="000000"/>
        </w:rPr>
        <w:t>pełnione są pozostałe</w:t>
      </w:r>
      <w:r w:rsidRPr="00793583">
        <w:rPr>
          <w:color w:val="000000"/>
        </w:rPr>
        <w:t xml:space="preserve"> </w:t>
      </w:r>
      <w:r>
        <w:rPr>
          <w:color w:val="000000"/>
        </w:rPr>
        <w:t xml:space="preserve">określone w art. 12 </w:t>
      </w:r>
      <w:r w:rsidRPr="000C3398">
        <w:rPr>
          <w:i/>
          <w:color w:val="000000"/>
        </w:rPr>
        <w:t>Dyrektywy</w:t>
      </w:r>
      <w:r>
        <w:rPr>
          <w:color w:val="000000"/>
        </w:rPr>
        <w:t xml:space="preserve"> przesłanki wyłączenia jej stosowania</w:t>
      </w:r>
      <w:r w:rsidRPr="00793583">
        <w:rPr>
          <w:color w:val="000000"/>
        </w:rPr>
        <w:t>.</w:t>
      </w:r>
    </w:p>
    <w:p w14:paraId="25592EFE" w14:textId="77777777" w:rsidR="00EC3834" w:rsidRPr="00793583" w:rsidRDefault="00EC3834" w:rsidP="00EC3834">
      <w:pPr>
        <w:pStyle w:val="Akapitzlist"/>
        <w:spacing w:before="100" w:beforeAutospacing="1" w:after="100" w:afterAutospacing="1" w:line="240" w:lineRule="auto"/>
        <w:ind w:left="284" w:firstLine="283"/>
        <w:jc w:val="both"/>
        <w:rPr>
          <w:color w:val="000000"/>
        </w:rPr>
      </w:pPr>
      <w:r w:rsidRPr="00793583">
        <w:rPr>
          <w:color w:val="000000"/>
        </w:rPr>
        <w:t>Ponadto należy wskazać, że zgodnie z Zawiadomieniem Komisji Europejskiej pn.” Wytyczne dla państw członkowskich w sprawie wyboru podmiotów wdrażających instrumenty finansowe”, które to Wytyczne odnoszą się do przepisów Rozporządzenia Parlamentu Europejskiego i Rady (UE)</w:t>
      </w:r>
      <w:r>
        <w:rPr>
          <w:color w:val="000000"/>
        </w:rPr>
        <w:br/>
      </w:r>
      <w:r w:rsidRPr="00793583">
        <w:rPr>
          <w:color w:val="000000"/>
        </w:rPr>
        <w:t>nr 1303/2013 z dnia 17 grudnia 2013 r. i Rozporządzenia delegowanego Komisji (UE) nr 480/2014</w:t>
      </w:r>
      <w:r>
        <w:rPr>
          <w:color w:val="000000"/>
        </w:rPr>
        <w:br/>
        <w:t>z dnia 3 marca 2014 r.,</w:t>
      </w:r>
      <w:r w:rsidRPr="00793583">
        <w:rPr>
          <w:color w:val="000000"/>
        </w:rPr>
        <w:t xml:space="preserve"> na podstawie których realizowane będzie przedmiotowe zamówienie, </w:t>
      </w:r>
      <w:r>
        <w:rPr>
          <w:color w:val="000000"/>
        </w:rPr>
        <w:t>dopuszczona</w:t>
      </w:r>
      <w:r w:rsidRPr="00793583">
        <w:rPr>
          <w:color w:val="000000"/>
        </w:rPr>
        <w:t xml:space="preserve"> została możliwość udzielenia zamówienia pomiędzy</w:t>
      </w:r>
      <w:r>
        <w:rPr>
          <w:color w:val="000000"/>
        </w:rPr>
        <w:t xml:space="preserve"> tzw.</w:t>
      </w:r>
      <w:r w:rsidRPr="00793583">
        <w:rPr>
          <w:color w:val="000000"/>
        </w:rPr>
        <w:t xml:space="preserve"> jednostkami wewnętrznym. </w:t>
      </w:r>
    </w:p>
    <w:p w14:paraId="2BA48DAF" w14:textId="77777777" w:rsidR="00EC3834" w:rsidRDefault="00EC3834" w:rsidP="00EC3834">
      <w:pPr>
        <w:pStyle w:val="Akapitzlist"/>
        <w:spacing w:line="240" w:lineRule="auto"/>
        <w:ind w:left="426"/>
        <w:jc w:val="both"/>
        <w:rPr>
          <w:color w:val="000000"/>
        </w:rPr>
      </w:pPr>
    </w:p>
    <w:p w14:paraId="3D96E09B" w14:textId="01747D88" w:rsidR="003D68B0" w:rsidRPr="00D8731A" w:rsidRDefault="00D8731A" w:rsidP="00D8731A">
      <w:pPr>
        <w:pStyle w:val="Akapitzlist"/>
        <w:numPr>
          <w:ilvl w:val="0"/>
          <w:numId w:val="1"/>
        </w:numPr>
        <w:spacing w:line="240" w:lineRule="auto"/>
        <w:ind w:left="426" w:hanging="426"/>
        <w:jc w:val="both"/>
        <w:rPr>
          <w:color w:val="000000"/>
        </w:rPr>
      </w:pPr>
      <w:r>
        <w:rPr>
          <w:color w:val="000000"/>
        </w:rPr>
        <w:t>W dniu 0</w:t>
      </w:r>
      <w:r w:rsidR="000263B2">
        <w:rPr>
          <w:color w:val="000000"/>
        </w:rPr>
        <w:t>8</w:t>
      </w:r>
      <w:r>
        <w:rPr>
          <w:color w:val="000000"/>
        </w:rPr>
        <w:t xml:space="preserve">.06.2020 r. </w:t>
      </w:r>
      <w:r w:rsidR="000263B2">
        <w:rPr>
          <w:color w:val="000000"/>
        </w:rPr>
        <w:t xml:space="preserve">w Dzienniku Urzędowym Unii Europejskiej zostało opublikowane </w:t>
      </w:r>
      <w:r>
        <w:rPr>
          <w:color w:val="000000"/>
        </w:rPr>
        <w:t xml:space="preserve">nieobowiązkowe </w:t>
      </w:r>
      <w:r w:rsidRPr="00793583">
        <w:rPr>
          <w:rFonts w:eastAsia="Times New Roman" w:cs="Times New Roman"/>
          <w:bCs/>
          <w:lang w:eastAsia="pl-PL"/>
        </w:rPr>
        <w:t>ogłoszenie</w:t>
      </w:r>
      <w:r>
        <w:rPr>
          <w:rFonts w:eastAsia="Times New Roman" w:cs="Times New Roman"/>
          <w:bCs/>
          <w:lang w:eastAsia="pl-PL"/>
        </w:rPr>
        <w:t xml:space="preserve"> </w:t>
      </w:r>
      <w:r w:rsidRPr="00793583">
        <w:t xml:space="preserve">o dobrowolnej przejrzystości ex </w:t>
      </w:r>
      <w:proofErr w:type="spellStart"/>
      <w:r w:rsidRPr="00793583">
        <w:t>ante</w:t>
      </w:r>
      <w:proofErr w:type="spellEnd"/>
      <w:r w:rsidRPr="00793583">
        <w:rPr>
          <w:rFonts w:eastAsia="Times New Roman" w:cs="Times New Roman"/>
          <w:bCs/>
          <w:lang w:eastAsia="pl-PL"/>
        </w:rPr>
        <w:t xml:space="preserve">, nr </w:t>
      </w:r>
      <w:r w:rsidR="000263B2">
        <w:rPr>
          <w:rFonts w:eastAsia="Times New Roman" w:cs="Times New Roman"/>
          <w:bCs/>
          <w:lang w:eastAsia="pl-PL"/>
        </w:rPr>
        <w:t>2020/S 109-265367</w:t>
      </w:r>
      <w:r>
        <w:t>.</w:t>
      </w:r>
    </w:p>
    <w:p w14:paraId="60337771" w14:textId="77777777" w:rsidR="00272F76" w:rsidRPr="00793583" w:rsidRDefault="00272F76" w:rsidP="00793583">
      <w:pPr>
        <w:spacing w:line="240" w:lineRule="auto"/>
        <w:jc w:val="both"/>
        <w:rPr>
          <w:color w:val="000000"/>
        </w:rPr>
      </w:pPr>
    </w:p>
    <w:p w14:paraId="317A21CA" w14:textId="77777777" w:rsidR="004775B8" w:rsidRDefault="004775B8" w:rsidP="00793583">
      <w:pPr>
        <w:spacing w:line="240" w:lineRule="auto"/>
        <w:jc w:val="both"/>
        <w:rPr>
          <w:color w:val="000000"/>
        </w:rPr>
      </w:pPr>
    </w:p>
    <w:p w14:paraId="29766FF5" w14:textId="77777777" w:rsidR="00272F76" w:rsidRPr="00793583" w:rsidRDefault="00272F76" w:rsidP="00793583">
      <w:pPr>
        <w:spacing w:line="240" w:lineRule="auto"/>
        <w:jc w:val="both"/>
        <w:rPr>
          <w:color w:val="000000"/>
        </w:rPr>
      </w:pPr>
    </w:p>
    <w:sectPr w:rsidR="00272F76" w:rsidRPr="00793583" w:rsidSect="00F65D38">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50DE0" w14:textId="77777777" w:rsidR="00172971" w:rsidRDefault="00172971" w:rsidP="00C25266">
      <w:pPr>
        <w:spacing w:after="0" w:line="240" w:lineRule="auto"/>
      </w:pPr>
      <w:r>
        <w:separator/>
      </w:r>
    </w:p>
  </w:endnote>
  <w:endnote w:type="continuationSeparator" w:id="0">
    <w:p w14:paraId="08715457" w14:textId="77777777" w:rsidR="00172971" w:rsidRDefault="00172971" w:rsidP="00C2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nil"/>
        <w:left w:val="nil"/>
        <w:bottom w:val="nil"/>
        <w:right w:val="nil"/>
        <w:insideH w:val="nil"/>
        <w:insideV w:val="nil"/>
      </w:tblBorders>
      <w:tblLook w:val="04A0" w:firstRow="1" w:lastRow="0" w:firstColumn="1" w:lastColumn="0" w:noHBand="0" w:noVBand="1"/>
    </w:tblPr>
    <w:tblGrid>
      <w:gridCol w:w="4303"/>
      <w:gridCol w:w="4769"/>
    </w:tblGrid>
    <w:tr w:rsidR="00F65D38" w14:paraId="74820896" w14:textId="77777777" w:rsidTr="00C671FD">
      <w:trPr>
        <w:trHeight w:val="878"/>
      </w:trPr>
      <w:tc>
        <w:tcPr>
          <w:tcW w:w="4702" w:type="dxa"/>
          <w:tcBorders>
            <w:top w:val="nil"/>
            <w:left w:val="nil"/>
            <w:bottom w:val="nil"/>
            <w:right w:val="nil"/>
          </w:tcBorders>
          <w:shd w:val="clear" w:color="auto" w:fill="auto"/>
        </w:tcPr>
        <w:p w14:paraId="322ED932" w14:textId="77777777" w:rsidR="00F65D38" w:rsidRDefault="00F65D38" w:rsidP="00F65D38">
          <w:pPr>
            <w:spacing w:after="0"/>
            <w:rPr>
              <w:sz w:val="16"/>
              <w:szCs w:val="16"/>
              <w:lang w:eastAsia="pl-PL"/>
            </w:rPr>
          </w:pPr>
          <w:r>
            <w:rPr>
              <w:noProof/>
              <w:sz w:val="16"/>
              <w:szCs w:val="16"/>
              <w:lang w:eastAsia="pl-PL"/>
            </w:rPr>
            <mc:AlternateContent>
              <mc:Choice Requires="wps">
                <w:drawing>
                  <wp:anchor distT="0" distB="0" distL="114300" distR="114300" simplePos="0" relativeHeight="251659264" behindDoc="0" locked="0" layoutInCell="1" allowOverlap="1" wp14:anchorId="30DD8B9F" wp14:editId="3E421E4A">
                    <wp:simplePos x="0" y="0"/>
                    <wp:positionH relativeFrom="column">
                      <wp:posOffset>-128905</wp:posOffset>
                    </wp:positionH>
                    <wp:positionV relativeFrom="paragraph">
                      <wp:posOffset>43180</wp:posOffset>
                    </wp:positionV>
                    <wp:extent cx="6095365" cy="8890"/>
                    <wp:effectExtent l="13970" t="5080" r="5715" b="508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8890"/>
                            </a:xfrm>
                            <a:prstGeom prst="line">
                              <a:avLst/>
                            </a:prstGeom>
                            <a:noFill/>
                            <a:ln w="9525" cap="flat">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9D22" id="shape_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3.4pt" to="469.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mPIAIAADcEAAAOAAAAZHJzL2Uyb0RvYy54bWysU02P2jAQvVfqf7B8hyQsUIg2rCoCvWy7&#10;SLs9V4PtEKuObdmGgKr+947Nh3bbS1U1B2dszzy/eTNz/3DsFDkI56XRFS2GOSVCM8Ol3lX068t6&#10;MKPEB9AclNGioifh6cPi/bv73pZiZFqjuHAEQbQve1vRNgRbZplnrejAD40VGi8b4zoIuHW7jDvo&#10;Eb1T2SjPp1lvHLfOMOE9ntbnS7pI+E0jWHhqGi8CURVFbiGtLq3buGaLeyh3Dmwr2YUG/AOLDqTG&#10;R29QNQQgeyf/gOokc8abJgyZ6TLTNJKJlANmU+S/ZfPcghUpFxTH25tM/v/Bsi+HjSOSV3REiYYO&#10;S+Tjq9+SNL31JXos9cbF5NhRP9tHw757os2yBb0TieLLyWJcEcXM3oTEjbf4wLb/bDj6wD6YpNOx&#10;cV2ERAXIMZXjdCuHOAbC8HCazyd30wklDO9ms3milEF5jbXOh0/CdCQaFVVSR7GghMOjD5ELlFeX&#10;eKzNWiqVCq406Ss6n4wiOGDbNQpCivVGSR79YoR3u+1SOXKA2D3pSznizWs3Z/aaJ9xWAF9d7ABS&#10;nW3koXTEw8SQ2cU6t8ePeT5fzVaz8WA8mq4G47yuBx/Xy/Fgui4+TOq7ermsi5+RWjEuW8m50JHd&#10;tVWL8d+1wmVozk12a9abItlb9CQdkr3+E+lU2VjMOFu+3Bp+2rhrxbE7k/NlkmL7v96j/XreF78A&#10;AAD//wMAUEsDBBQABgAIAAAAIQA1Q1Rx3AAAAAcBAAAPAAAAZHJzL2Rvd25yZXYueG1sTI/BTsMw&#10;EETvSPyDtUhcqtYmkaI2ZFMhIDcuFBDXbbIkEfE6jd028PWYExxHM5p5U2xnO6gTT753gnCzMqBY&#10;atf00iK8vlTLNSgfSBoanDDCF3vYlpcXBeWNO8szn3ahVbFEfE4IXQhjrrWvO7bkV25kid6HmyyF&#10;KKdWNxOdY7kddGJMpi31Ehc6Gvm+4/pzd7QIvnrjQ/W9qBfmPW0dJ4eHp0dCvL6a725BBZ7DXxh+&#10;8SM6lJFp747SeDUgLBOTxihCFh9Ef5NuMlB7hHUCuiz0f/7yBwAA//8DAFBLAQItABQABgAIAAAA&#10;IQC2gziS/gAAAOEBAAATAAAAAAAAAAAAAAAAAAAAAABbQ29udGVudF9UeXBlc10ueG1sUEsBAi0A&#10;FAAGAAgAAAAhADj9If/WAAAAlAEAAAsAAAAAAAAAAAAAAAAALwEAAF9yZWxzLy5yZWxzUEsBAi0A&#10;FAAGAAgAAAAhACYbmY8gAgAANwQAAA4AAAAAAAAAAAAAAAAALgIAAGRycy9lMm9Eb2MueG1sUEsB&#10;Ai0AFAAGAAgAAAAhADVDVHHcAAAABwEAAA8AAAAAAAAAAAAAAAAAegQAAGRycy9kb3ducmV2Lnht&#10;bFBLBQYAAAAABAAEAPMAAACDBQAAAAA=&#10;"/>
                </w:pict>
              </mc:Fallback>
            </mc:AlternateContent>
          </w:r>
        </w:p>
        <w:p w14:paraId="4A4F14A7" w14:textId="77777777" w:rsidR="00F65D38" w:rsidRDefault="00F65D38" w:rsidP="00F65D38">
          <w:pPr>
            <w:spacing w:after="0"/>
            <w:rPr>
              <w:sz w:val="16"/>
              <w:szCs w:val="16"/>
              <w:lang w:eastAsia="pl-PL"/>
            </w:rPr>
          </w:pPr>
          <w:r>
            <w:rPr>
              <w:sz w:val="16"/>
              <w:szCs w:val="16"/>
              <w:lang w:eastAsia="pl-PL"/>
            </w:rPr>
            <w:t>Kujawsko-Pomorski Fundusz Rozwoju sp. z o.o. w Toruniu</w:t>
          </w:r>
        </w:p>
        <w:p w14:paraId="56D81B11" w14:textId="77777777" w:rsidR="00F65D38" w:rsidRDefault="00F65D38" w:rsidP="00F65D38">
          <w:pPr>
            <w:spacing w:after="0"/>
            <w:rPr>
              <w:sz w:val="16"/>
              <w:szCs w:val="16"/>
              <w:lang w:eastAsia="pl-PL"/>
            </w:rPr>
          </w:pPr>
          <w:r>
            <w:rPr>
              <w:sz w:val="16"/>
              <w:szCs w:val="16"/>
              <w:lang w:eastAsia="pl-PL"/>
            </w:rPr>
            <w:t>ul. Przedzamcze 8, 87-100 Toruń, tel. 56 475 63 00,</w:t>
          </w:r>
          <w:r>
            <w:rPr>
              <w:sz w:val="16"/>
              <w:szCs w:val="16"/>
              <w:lang w:eastAsia="pl-PL"/>
            </w:rPr>
            <w:br/>
            <w:t>e-mail</w:t>
          </w:r>
          <w:r>
            <w:rPr>
              <w:b/>
              <w:sz w:val="16"/>
              <w:szCs w:val="16"/>
              <w:lang w:eastAsia="pl-PL"/>
            </w:rPr>
            <w:t xml:space="preserve">: </w:t>
          </w:r>
          <w:hyperlink r:id="rId1">
            <w:r>
              <w:rPr>
                <w:rStyle w:val="czeinternetowe"/>
                <w:b/>
                <w:sz w:val="16"/>
                <w:szCs w:val="16"/>
                <w:lang w:eastAsia="pl-PL"/>
              </w:rPr>
              <w:t>biuro@kpfr.pl</w:t>
            </w:r>
          </w:hyperlink>
          <w:r>
            <w:rPr>
              <w:sz w:val="16"/>
              <w:szCs w:val="16"/>
              <w:lang w:eastAsia="pl-PL"/>
            </w:rPr>
            <w:t xml:space="preserve"> </w:t>
          </w:r>
        </w:p>
      </w:tc>
      <w:tc>
        <w:tcPr>
          <w:tcW w:w="5181" w:type="dxa"/>
          <w:tcBorders>
            <w:top w:val="nil"/>
            <w:left w:val="nil"/>
            <w:bottom w:val="nil"/>
            <w:right w:val="nil"/>
          </w:tcBorders>
          <w:shd w:val="clear" w:color="auto" w:fill="auto"/>
        </w:tcPr>
        <w:p w14:paraId="3B933132" w14:textId="77777777" w:rsidR="00F65D38" w:rsidRDefault="00F65D38" w:rsidP="00F65D38">
          <w:pPr>
            <w:spacing w:after="0"/>
            <w:rPr>
              <w:sz w:val="16"/>
              <w:szCs w:val="16"/>
              <w:lang w:eastAsia="pl-PL"/>
            </w:rPr>
          </w:pPr>
        </w:p>
        <w:p w14:paraId="18D312B9" w14:textId="77777777" w:rsidR="00F65D38" w:rsidRDefault="00F65D38" w:rsidP="00F65D38">
          <w:pPr>
            <w:spacing w:after="0"/>
            <w:rPr>
              <w:sz w:val="16"/>
              <w:szCs w:val="16"/>
              <w:lang w:eastAsia="pl-PL"/>
            </w:rPr>
          </w:pPr>
          <w:r>
            <w:rPr>
              <w:sz w:val="16"/>
              <w:szCs w:val="16"/>
              <w:lang w:eastAsia="pl-PL"/>
            </w:rPr>
            <w:t>NIP: 9562324238,Regon: 366974655, Kapitał zakładowy: 500 000,00 PLN Sąd Rejonowy w Toruniu, VII Wydział Gospodarczy, KRS: 0000671974</w:t>
          </w:r>
        </w:p>
      </w:tc>
    </w:tr>
  </w:tbl>
  <w:p w14:paraId="3B906A56" w14:textId="77777777" w:rsidR="00F65D38" w:rsidRDefault="00F65D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8EFBA" w14:textId="77777777" w:rsidR="00172971" w:rsidRDefault="00172971" w:rsidP="00C25266">
      <w:pPr>
        <w:spacing w:after="0" w:line="240" w:lineRule="auto"/>
      </w:pPr>
      <w:r>
        <w:separator/>
      </w:r>
    </w:p>
  </w:footnote>
  <w:footnote w:type="continuationSeparator" w:id="0">
    <w:p w14:paraId="77217523" w14:textId="77777777" w:rsidR="00172971" w:rsidRDefault="00172971" w:rsidP="00C25266">
      <w:pPr>
        <w:spacing w:after="0" w:line="240" w:lineRule="auto"/>
      </w:pPr>
      <w:r>
        <w:continuationSeparator/>
      </w:r>
    </w:p>
  </w:footnote>
  <w:footnote w:id="1">
    <w:p w14:paraId="0990DA52" w14:textId="77777777" w:rsidR="004921B0" w:rsidRPr="00793583" w:rsidRDefault="004921B0" w:rsidP="004921B0">
      <w:pPr>
        <w:pStyle w:val="Tekstprzypisudolnego"/>
        <w:rPr>
          <w:sz w:val="18"/>
          <w:szCs w:val="18"/>
        </w:rPr>
      </w:pPr>
      <w:r w:rsidRPr="00793583">
        <w:rPr>
          <w:rStyle w:val="Odwoanieprzypisudolnego"/>
          <w:sz w:val="18"/>
          <w:szCs w:val="18"/>
        </w:rPr>
        <w:footnoteRef/>
      </w:r>
      <w:r w:rsidRPr="00793583">
        <w:rPr>
          <w:sz w:val="18"/>
          <w:szCs w:val="18"/>
        </w:rPr>
        <w:t xml:space="preserve"> Instrument Finansowy – definicja zgodna art. 37 Rozporządzenia 1303/2013 z dnia 17 grudnia 2013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BA3E" w14:textId="77777777" w:rsidR="00E6565C" w:rsidRDefault="00E6565C">
    <w:pPr>
      <w:pStyle w:val="Nagwek"/>
    </w:pPr>
    <w:r>
      <w:rPr>
        <w:noProof/>
        <w:lang w:eastAsia="pl-PL"/>
      </w:rPr>
      <w:drawing>
        <wp:inline distT="0" distB="0" distL="0" distR="0" wp14:anchorId="3C7E97A6" wp14:editId="5F8C9FDB">
          <wp:extent cx="5759450" cy="608965"/>
          <wp:effectExtent l="0" t="0" r="0" b="635"/>
          <wp:docPr id="3" name="Obraz 3" descr="W:\Logotypy\poziom_kolor_mod.jpg"/>
          <wp:cNvGraphicFramePr/>
          <a:graphic xmlns:a="http://schemas.openxmlformats.org/drawingml/2006/main">
            <a:graphicData uri="http://schemas.openxmlformats.org/drawingml/2006/picture">
              <pic:pic xmlns:pic="http://schemas.openxmlformats.org/drawingml/2006/picture">
                <pic:nvPicPr>
                  <pic:cNvPr id="3" name="Obraz 3" descr="W:\Logotypy\poziom_kolor_mo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970B3"/>
    <w:multiLevelType w:val="hybridMultilevel"/>
    <w:tmpl w:val="B3E4A11C"/>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4D1478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6868E6"/>
    <w:multiLevelType w:val="hybridMultilevel"/>
    <w:tmpl w:val="3B941324"/>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281CD8"/>
    <w:multiLevelType w:val="hybridMultilevel"/>
    <w:tmpl w:val="88B2785C"/>
    <w:lvl w:ilvl="0" w:tplc="0415000F">
      <w:start w:val="1"/>
      <w:numFmt w:val="decimal"/>
      <w:lvlText w:val="%1."/>
      <w:lvlJc w:val="left"/>
      <w:pPr>
        <w:ind w:left="928" w:hanging="360"/>
      </w:pPr>
    </w:lvl>
    <w:lvl w:ilvl="1" w:tplc="04150017">
      <w:start w:val="1"/>
      <w:numFmt w:val="lowerLetter"/>
      <w:lvlText w:val="%2)"/>
      <w:lvlJc w:val="left"/>
      <w:pPr>
        <w:ind w:left="1440" w:hanging="360"/>
      </w:pPr>
      <w:rPr>
        <w:rFonts w:hint="default"/>
      </w:rPr>
    </w:lvl>
    <w:lvl w:ilvl="2" w:tplc="BE6E31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EE1EDF"/>
    <w:multiLevelType w:val="hybridMultilevel"/>
    <w:tmpl w:val="D82834F8"/>
    <w:lvl w:ilvl="0" w:tplc="BFBC263A">
      <w:start w:val="1"/>
      <w:numFmt w:val="decimal"/>
      <w:lvlText w:val="%1."/>
      <w:lvlJc w:val="left"/>
      <w:pPr>
        <w:ind w:left="1440" w:hanging="360"/>
      </w:pPr>
      <w:rPr>
        <w:rFonts w:asciiTheme="minorHAnsi" w:hAnsiTheme="minorHAnsi" w:cstheme="minorBid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F080911"/>
    <w:multiLevelType w:val="hybridMultilevel"/>
    <w:tmpl w:val="7FF0A8B4"/>
    <w:lvl w:ilvl="0" w:tplc="1F10F60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41407AC7"/>
    <w:multiLevelType w:val="hybridMultilevel"/>
    <w:tmpl w:val="8DD4AB46"/>
    <w:lvl w:ilvl="0" w:tplc="1BD40A0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5B1C51"/>
    <w:multiLevelType w:val="hybridMultilevel"/>
    <w:tmpl w:val="22D46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C74F83"/>
    <w:multiLevelType w:val="hybridMultilevel"/>
    <w:tmpl w:val="7030791A"/>
    <w:lvl w:ilvl="0" w:tplc="E8F0F3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6B6EAB"/>
    <w:multiLevelType w:val="hybridMultilevel"/>
    <w:tmpl w:val="EB6AE81A"/>
    <w:lvl w:ilvl="0" w:tplc="F75E6B60">
      <w:start w:val="3"/>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7E7CCF"/>
    <w:multiLevelType w:val="hybridMultilevel"/>
    <w:tmpl w:val="EEB674A2"/>
    <w:lvl w:ilvl="0" w:tplc="C490566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B1713F"/>
    <w:multiLevelType w:val="hybridMultilevel"/>
    <w:tmpl w:val="4F9EF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50D"/>
    <w:rsid w:val="000101E9"/>
    <w:rsid w:val="000263B2"/>
    <w:rsid w:val="00082BD4"/>
    <w:rsid w:val="000C3398"/>
    <w:rsid w:val="000F023F"/>
    <w:rsid w:val="001260D3"/>
    <w:rsid w:val="00172971"/>
    <w:rsid w:val="00173911"/>
    <w:rsid w:val="001B0B60"/>
    <w:rsid w:val="001F492D"/>
    <w:rsid w:val="00204D6D"/>
    <w:rsid w:val="0024083B"/>
    <w:rsid w:val="00247015"/>
    <w:rsid w:val="00256631"/>
    <w:rsid w:val="00272F76"/>
    <w:rsid w:val="00317BAA"/>
    <w:rsid w:val="0033297D"/>
    <w:rsid w:val="00382644"/>
    <w:rsid w:val="00382A8F"/>
    <w:rsid w:val="003A49AC"/>
    <w:rsid w:val="003B0CDD"/>
    <w:rsid w:val="003D68B0"/>
    <w:rsid w:val="003F192F"/>
    <w:rsid w:val="00431443"/>
    <w:rsid w:val="004562A6"/>
    <w:rsid w:val="004775B8"/>
    <w:rsid w:val="00491EF3"/>
    <w:rsid w:val="004921B0"/>
    <w:rsid w:val="00494648"/>
    <w:rsid w:val="0051013A"/>
    <w:rsid w:val="00520D53"/>
    <w:rsid w:val="00522F62"/>
    <w:rsid w:val="00535402"/>
    <w:rsid w:val="00581472"/>
    <w:rsid w:val="005814B5"/>
    <w:rsid w:val="005E31BD"/>
    <w:rsid w:val="00606BEA"/>
    <w:rsid w:val="006D4AAB"/>
    <w:rsid w:val="006F6D67"/>
    <w:rsid w:val="00706465"/>
    <w:rsid w:val="0072035F"/>
    <w:rsid w:val="00725D79"/>
    <w:rsid w:val="007278D5"/>
    <w:rsid w:val="00780049"/>
    <w:rsid w:val="00793583"/>
    <w:rsid w:val="0080450D"/>
    <w:rsid w:val="00830661"/>
    <w:rsid w:val="00845E5E"/>
    <w:rsid w:val="00877E4C"/>
    <w:rsid w:val="008A4F5D"/>
    <w:rsid w:val="009264B1"/>
    <w:rsid w:val="009A172C"/>
    <w:rsid w:val="009A78CC"/>
    <w:rsid w:val="00A32E8F"/>
    <w:rsid w:val="00A93B3D"/>
    <w:rsid w:val="00AA20A7"/>
    <w:rsid w:val="00B450B4"/>
    <w:rsid w:val="00B520A8"/>
    <w:rsid w:val="00B7148B"/>
    <w:rsid w:val="00C25266"/>
    <w:rsid w:val="00C2550F"/>
    <w:rsid w:val="00C274AB"/>
    <w:rsid w:val="00CA2C88"/>
    <w:rsid w:val="00CB374D"/>
    <w:rsid w:val="00CE4BE7"/>
    <w:rsid w:val="00CF1252"/>
    <w:rsid w:val="00D22D7C"/>
    <w:rsid w:val="00D241D1"/>
    <w:rsid w:val="00D613D3"/>
    <w:rsid w:val="00D8731A"/>
    <w:rsid w:val="00DC6E52"/>
    <w:rsid w:val="00DC7BBE"/>
    <w:rsid w:val="00E238D6"/>
    <w:rsid w:val="00E2632A"/>
    <w:rsid w:val="00E35920"/>
    <w:rsid w:val="00E3608E"/>
    <w:rsid w:val="00E519BE"/>
    <w:rsid w:val="00E548E7"/>
    <w:rsid w:val="00E6565C"/>
    <w:rsid w:val="00E7515A"/>
    <w:rsid w:val="00E81DEC"/>
    <w:rsid w:val="00EC3834"/>
    <w:rsid w:val="00ED44C3"/>
    <w:rsid w:val="00EE0C2C"/>
    <w:rsid w:val="00EE79BB"/>
    <w:rsid w:val="00EF4FA8"/>
    <w:rsid w:val="00F155C3"/>
    <w:rsid w:val="00F2459A"/>
    <w:rsid w:val="00F474D3"/>
    <w:rsid w:val="00F65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6C71"/>
  <w15:chartTrackingRefBased/>
  <w15:docId w15:val="{BD0585E5-B88E-42F3-9B53-E17D103E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450D"/>
    <w:pPr>
      <w:ind w:left="720"/>
      <w:contextualSpacing/>
    </w:pPr>
  </w:style>
  <w:style w:type="character" w:styleId="Pogrubienie">
    <w:name w:val="Strong"/>
    <w:basedOn w:val="Domylnaczcionkaakapitu"/>
    <w:uiPriority w:val="22"/>
    <w:qFormat/>
    <w:rsid w:val="0080450D"/>
    <w:rPr>
      <w:b/>
      <w:bCs/>
    </w:rPr>
  </w:style>
  <w:style w:type="character" w:styleId="Odwoanieprzypisudolnego">
    <w:name w:val="footnote reference"/>
    <w:basedOn w:val="Domylnaczcionkaakapitu"/>
    <w:uiPriority w:val="99"/>
    <w:semiHidden/>
    <w:unhideWhenUsed/>
    <w:rsid w:val="00C25266"/>
    <w:rPr>
      <w:vertAlign w:val="superscript"/>
    </w:rPr>
  </w:style>
  <w:style w:type="paragraph" w:customStyle="1" w:styleId="Default">
    <w:name w:val="Default"/>
    <w:link w:val="DefaultZnak"/>
    <w:rsid w:val="00E238D6"/>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3D68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68B0"/>
    <w:rPr>
      <w:sz w:val="20"/>
      <w:szCs w:val="20"/>
    </w:rPr>
  </w:style>
  <w:style w:type="paragraph" w:styleId="Tematkomentarza">
    <w:name w:val="annotation subject"/>
    <w:basedOn w:val="Tekstkomentarza"/>
    <w:next w:val="Tekstkomentarza"/>
    <w:link w:val="TematkomentarzaZnak"/>
    <w:uiPriority w:val="99"/>
    <w:semiHidden/>
    <w:unhideWhenUsed/>
    <w:rsid w:val="003D68B0"/>
    <w:rPr>
      <w:b/>
      <w:bCs/>
    </w:rPr>
  </w:style>
  <w:style w:type="character" w:customStyle="1" w:styleId="TematkomentarzaZnak">
    <w:name w:val="Temat komentarza Znak"/>
    <w:basedOn w:val="TekstkomentarzaZnak"/>
    <w:link w:val="Tematkomentarza"/>
    <w:uiPriority w:val="99"/>
    <w:semiHidden/>
    <w:rsid w:val="003D68B0"/>
    <w:rPr>
      <w:b/>
      <w:bCs/>
      <w:sz w:val="20"/>
      <w:szCs w:val="20"/>
    </w:rPr>
  </w:style>
  <w:style w:type="paragraph" w:styleId="Nagwek">
    <w:name w:val="header"/>
    <w:basedOn w:val="Normalny"/>
    <w:link w:val="NagwekZnak"/>
    <w:uiPriority w:val="99"/>
    <w:unhideWhenUsed/>
    <w:rsid w:val="00F65D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D38"/>
  </w:style>
  <w:style w:type="paragraph" w:styleId="Stopka">
    <w:name w:val="footer"/>
    <w:basedOn w:val="Normalny"/>
    <w:link w:val="StopkaZnak"/>
    <w:uiPriority w:val="99"/>
    <w:unhideWhenUsed/>
    <w:rsid w:val="00F65D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5D38"/>
  </w:style>
  <w:style w:type="character" w:customStyle="1" w:styleId="czeinternetowe">
    <w:name w:val="Łącze internetowe"/>
    <w:basedOn w:val="Domylnaczcionkaakapitu"/>
    <w:uiPriority w:val="99"/>
    <w:unhideWhenUsed/>
    <w:rsid w:val="00F65D38"/>
    <w:rPr>
      <w:color w:val="0563C1"/>
      <w:u w:val="single"/>
    </w:rPr>
  </w:style>
  <w:style w:type="paragraph" w:customStyle="1" w:styleId="Zawartoramki">
    <w:name w:val="Zawartość ramki"/>
    <w:basedOn w:val="Normalny"/>
    <w:rsid w:val="00F65D38"/>
    <w:pPr>
      <w:suppressAutoHyphens/>
    </w:pPr>
    <w:rPr>
      <w:rFonts w:ascii="Calibri" w:eastAsia="SimSun" w:hAnsi="Calibri" w:cs="Calibri"/>
    </w:rPr>
  </w:style>
  <w:style w:type="paragraph" w:styleId="Tekstdymka">
    <w:name w:val="Balloon Text"/>
    <w:basedOn w:val="Normalny"/>
    <w:link w:val="TekstdymkaZnak"/>
    <w:uiPriority w:val="99"/>
    <w:semiHidden/>
    <w:unhideWhenUsed/>
    <w:rsid w:val="00F474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4D3"/>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921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1B0"/>
    <w:rPr>
      <w:sz w:val="20"/>
      <w:szCs w:val="20"/>
    </w:rPr>
  </w:style>
  <w:style w:type="paragraph" w:customStyle="1" w:styleId="Normalny1">
    <w:name w:val="Normalny1"/>
    <w:basedOn w:val="Normalny"/>
    <w:rsid w:val="003F19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efaultZnak">
    <w:name w:val="Default Znak"/>
    <w:basedOn w:val="Domylnaczcionkaakapitu"/>
    <w:link w:val="Default"/>
    <w:locked/>
    <w:rsid w:val="00EE0C2C"/>
    <w:rPr>
      <w:rFonts w:ascii="Calibri" w:hAnsi="Calibri" w:cs="Calibri"/>
      <w:color w:val="000000"/>
      <w:sz w:val="24"/>
      <w:szCs w:val="24"/>
    </w:rPr>
  </w:style>
  <w:style w:type="character" w:styleId="Hipercze">
    <w:name w:val="Hyperlink"/>
    <w:basedOn w:val="Domylnaczcionkaakapitu"/>
    <w:uiPriority w:val="99"/>
    <w:semiHidden/>
    <w:unhideWhenUsed/>
    <w:rsid w:val="00522F62"/>
    <w:rPr>
      <w:color w:val="0000FF"/>
      <w:u w:val="single"/>
    </w:rPr>
  </w:style>
  <w:style w:type="character" w:customStyle="1" w:styleId="alb">
    <w:name w:val="a_lb"/>
    <w:basedOn w:val="Domylnaczcionkaakapitu"/>
    <w:rsid w:val="00522F62"/>
  </w:style>
  <w:style w:type="paragraph" w:customStyle="1" w:styleId="text-justify">
    <w:name w:val="text-justify"/>
    <w:basedOn w:val="Normalny"/>
    <w:rsid w:val="00522F6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122308">
      <w:bodyDiv w:val="1"/>
      <w:marLeft w:val="0"/>
      <w:marRight w:val="0"/>
      <w:marTop w:val="0"/>
      <w:marBottom w:val="0"/>
      <w:divBdr>
        <w:top w:val="none" w:sz="0" w:space="0" w:color="auto"/>
        <w:left w:val="none" w:sz="0" w:space="0" w:color="auto"/>
        <w:bottom w:val="none" w:sz="0" w:space="0" w:color="auto"/>
        <w:right w:val="none" w:sz="0" w:space="0" w:color="auto"/>
      </w:divBdr>
      <w:divsChild>
        <w:div w:id="1613366842">
          <w:marLeft w:val="0"/>
          <w:marRight w:val="0"/>
          <w:marTop w:val="0"/>
          <w:marBottom w:val="0"/>
          <w:divBdr>
            <w:top w:val="none" w:sz="0" w:space="0" w:color="auto"/>
            <w:left w:val="none" w:sz="0" w:space="0" w:color="auto"/>
            <w:bottom w:val="none" w:sz="0" w:space="0" w:color="auto"/>
            <w:right w:val="none" w:sz="0" w:space="0" w:color="auto"/>
          </w:divBdr>
          <w:divsChild>
            <w:div w:id="505481953">
              <w:marLeft w:val="0"/>
              <w:marRight w:val="0"/>
              <w:marTop w:val="0"/>
              <w:marBottom w:val="0"/>
              <w:divBdr>
                <w:top w:val="none" w:sz="0" w:space="0" w:color="auto"/>
                <w:left w:val="none" w:sz="0" w:space="0" w:color="auto"/>
                <w:bottom w:val="none" w:sz="0" w:space="0" w:color="auto"/>
                <w:right w:val="none" w:sz="0" w:space="0" w:color="auto"/>
              </w:divBdr>
            </w:div>
          </w:divsChild>
        </w:div>
        <w:div w:id="375128794">
          <w:marLeft w:val="0"/>
          <w:marRight w:val="0"/>
          <w:marTop w:val="0"/>
          <w:marBottom w:val="0"/>
          <w:divBdr>
            <w:top w:val="none" w:sz="0" w:space="0" w:color="auto"/>
            <w:left w:val="none" w:sz="0" w:space="0" w:color="auto"/>
            <w:bottom w:val="none" w:sz="0" w:space="0" w:color="auto"/>
            <w:right w:val="none" w:sz="0" w:space="0" w:color="auto"/>
          </w:divBdr>
          <w:divsChild>
            <w:div w:id="2043900763">
              <w:marLeft w:val="0"/>
              <w:marRight w:val="0"/>
              <w:marTop w:val="0"/>
              <w:marBottom w:val="0"/>
              <w:divBdr>
                <w:top w:val="none" w:sz="0" w:space="0" w:color="auto"/>
                <w:left w:val="none" w:sz="0" w:space="0" w:color="auto"/>
                <w:bottom w:val="none" w:sz="0" w:space="0" w:color="auto"/>
                <w:right w:val="none" w:sz="0" w:space="0" w:color="auto"/>
              </w:divBdr>
            </w:div>
          </w:divsChild>
        </w:div>
        <w:div w:id="894437417">
          <w:marLeft w:val="0"/>
          <w:marRight w:val="0"/>
          <w:marTop w:val="0"/>
          <w:marBottom w:val="0"/>
          <w:divBdr>
            <w:top w:val="none" w:sz="0" w:space="0" w:color="auto"/>
            <w:left w:val="none" w:sz="0" w:space="0" w:color="auto"/>
            <w:bottom w:val="none" w:sz="0" w:space="0" w:color="auto"/>
            <w:right w:val="none" w:sz="0" w:space="0" w:color="auto"/>
          </w:divBdr>
          <w:divsChild>
            <w:div w:id="19334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5046">
      <w:bodyDiv w:val="1"/>
      <w:marLeft w:val="0"/>
      <w:marRight w:val="0"/>
      <w:marTop w:val="0"/>
      <w:marBottom w:val="0"/>
      <w:divBdr>
        <w:top w:val="none" w:sz="0" w:space="0" w:color="auto"/>
        <w:left w:val="none" w:sz="0" w:space="0" w:color="auto"/>
        <w:bottom w:val="none" w:sz="0" w:space="0" w:color="auto"/>
        <w:right w:val="none" w:sz="0" w:space="0" w:color="auto"/>
      </w:divBdr>
      <w:divsChild>
        <w:div w:id="403451727">
          <w:marLeft w:val="0"/>
          <w:marRight w:val="0"/>
          <w:marTop w:val="0"/>
          <w:marBottom w:val="0"/>
          <w:divBdr>
            <w:top w:val="none" w:sz="0" w:space="0" w:color="auto"/>
            <w:left w:val="none" w:sz="0" w:space="0" w:color="auto"/>
            <w:bottom w:val="none" w:sz="0" w:space="0" w:color="auto"/>
            <w:right w:val="none" w:sz="0" w:space="0" w:color="auto"/>
          </w:divBdr>
        </w:div>
        <w:div w:id="1984310939">
          <w:marLeft w:val="0"/>
          <w:marRight w:val="0"/>
          <w:marTop w:val="0"/>
          <w:marBottom w:val="0"/>
          <w:divBdr>
            <w:top w:val="none" w:sz="0" w:space="0" w:color="auto"/>
            <w:left w:val="none" w:sz="0" w:space="0" w:color="auto"/>
            <w:bottom w:val="none" w:sz="0" w:space="0" w:color="auto"/>
            <w:right w:val="none" w:sz="0" w:space="0" w:color="auto"/>
          </w:divBdr>
        </w:div>
      </w:divsChild>
    </w:div>
    <w:div w:id="1320157656">
      <w:bodyDiv w:val="1"/>
      <w:marLeft w:val="0"/>
      <w:marRight w:val="0"/>
      <w:marTop w:val="0"/>
      <w:marBottom w:val="0"/>
      <w:divBdr>
        <w:top w:val="none" w:sz="0" w:space="0" w:color="auto"/>
        <w:left w:val="none" w:sz="0" w:space="0" w:color="auto"/>
        <w:bottom w:val="none" w:sz="0" w:space="0" w:color="auto"/>
        <w:right w:val="none" w:sz="0" w:space="0" w:color="auto"/>
      </w:divBdr>
    </w:div>
    <w:div w:id="1886679338">
      <w:bodyDiv w:val="1"/>
      <w:marLeft w:val="0"/>
      <w:marRight w:val="0"/>
      <w:marTop w:val="0"/>
      <w:marBottom w:val="0"/>
      <w:divBdr>
        <w:top w:val="none" w:sz="0" w:space="0" w:color="auto"/>
        <w:left w:val="none" w:sz="0" w:space="0" w:color="auto"/>
        <w:bottom w:val="none" w:sz="0" w:space="0" w:color="auto"/>
        <w:right w:val="none" w:sz="0" w:space="0" w:color="auto"/>
      </w:divBdr>
    </w:div>
    <w:div w:id="21068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iuro@kpf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2544</Words>
  <Characters>15269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Julita  Kacprzyk</cp:lastModifiedBy>
  <cp:revision>2</cp:revision>
  <cp:lastPrinted>2020-06-03T12:41:00Z</cp:lastPrinted>
  <dcterms:created xsi:type="dcterms:W3CDTF">2020-07-23T06:02:00Z</dcterms:created>
  <dcterms:modified xsi:type="dcterms:W3CDTF">2020-07-23T06:02:00Z</dcterms:modified>
</cp:coreProperties>
</file>